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1B2A4A"/>
        </w:rPr>
        <w:t>project-state — Risk Register (Baseline)</w:t>
      </w:r>
    </w:p>
    <w:p>
      <w:r>
        <w:t>Date: 2026-04-28  ·  Status: Initial register  ·  Owner: David Olsson (Worksona)</w:t>
      </w:r>
    </w:p>
    <w:p>
      <w:pPr>
        <w:pStyle w:val="BodyText"/>
      </w:pPr>
      <w:r>
        <w:t>This register contains 11 identified risks. All are currently open. Updated on each milestone completion and whenever a risk materializes or is mitigated.</w:t>
      </w:r>
    </w:p>
    <w:p>
      <w:pPr>
        <w:pStyle w:val="Heading2"/>
      </w:pPr>
      <w:r>
        <w:rPr>
          <w:color w:val="1B2A4A"/>
        </w:rPr>
        <w:t>Scoring matrix</w:t>
      </w:r>
    </w:p>
    <w:tbl>
      <w:tblPr>
        <w:tblW w:type="auto" w:w="0"/>
        <w:jc w:val="center"/>
        <w:tblLook w:firstColumn="1" w:firstRow="1" w:lastColumn="0" w:lastRow="0" w:noHBand="0" w:noVBand="1" w:val="04A0"/>
        <w:tblBorders>
          <w:top w:val="single" w:sz="4" w:space="0" w:color="BDC3C7"/>
          <w:left w:val="single" w:sz="4" w:space="0" w:color="BDC3C7"/>
          <w:bottom w:val="single" w:sz="4" w:space="0" w:color="BDC3C7"/>
          <w:right w:val="single" w:sz="4" w:space="0" w:color="BDC3C7"/>
          <w:insideH w:val="single" w:sz="4" w:space="0" w:color="BDC3C7"/>
          <w:insideV w:val="single" w:sz="4" w:space="0" w:color="BDC3C7"/>
        </w:tblBorders>
      </w:tblPr>
      <w:tblGrid>
        <w:gridCol w:w="2880"/>
        <w:gridCol w:w="2880"/>
        <w:gridCol w:w="2880"/>
      </w:tblGrid>
      <w:tr>
        <w:tc>
          <w:tcPr>
            <w:tcW w:type="dxa" w:w="2880"/>
            <w:shd w:fill="1B2A4A" w:val="clear"/>
          </w:tcPr>
          <w:p>
            <w:pPr>
              <w:jc w:val="left"/>
            </w:pPr>
            <w:r>
              <w:rPr>
                <w:b/>
                <w:color w:val="FFFFFF"/>
                <w:sz w:val="18"/>
              </w:rPr>
              <w:t>Likelihood</w:t>
            </w:r>
          </w:p>
        </w:tc>
        <w:tc>
          <w:tcPr>
            <w:tcW w:type="dxa" w:w="2880"/>
            <w:shd w:fill="1B2A4A" w:val="clear"/>
          </w:tcPr>
          <w:p>
            <w:pPr>
              <w:jc w:val="left"/>
            </w:pPr>
            <w:r>
              <w:rPr>
                <w:b/>
                <w:color w:val="FFFFFF"/>
                <w:sz w:val="18"/>
              </w:rPr>
              <w:t>Impact</w:t>
            </w:r>
          </w:p>
        </w:tc>
        <w:tc>
          <w:tcPr>
            <w:tcW w:type="dxa" w:w="2880"/>
            <w:shd w:fill="1B2A4A" w:val="clear"/>
          </w:tcPr>
          <w:p>
            <w:pPr>
              <w:jc w:val="left"/>
            </w:pPr>
            <w:r>
              <w:rPr>
                <w:b/>
                <w:color w:val="FFFFFF"/>
                <w:sz w:val="18"/>
              </w:rPr>
              <w:t>Score</w:t>
            </w:r>
          </w:p>
        </w:tc>
      </w:tr>
      <w:tr>
        <w:tc>
          <w:tcPr>
            <w:tcW w:type="dxa" w:w="2880"/>
          </w:tcPr>
          <w:p>
            <w:r>
              <w:rPr>
                <w:sz w:val="18"/>
              </w:rPr>
              <w:t>low</w:t>
            </w:r>
          </w:p>
        </w:tc>
        <w:tc>
          <w:tcPr>
            <w:tcW w:type="dxa" w:w="2880"/>
          </w:tcPr>
          <w:p>
            <w:r>
              <w:rPr>
                <w:sz w:val="18"/>
              </w:rPr>
              <w:t>low</w:t>
            </w:r>
          </w:p>
        </w:tc>
        <w:tc>
          <w:tcPr>
            <w:tcW w:type="dxa" w:w="2880"/>
          </w:tcPr>
          <w:p>
            <w:r>
              <w:rPr>
                <w:sz w:val="18"/>
              </w:rPr>
              <w:t>low</w:t>
            </w:r>
          </w:p>
        </w:tc>
      </w:tr>
      <w:tr>
        <w:tc>
          <w:tcPr>
            <w:tcW w:type="dxa" w:w="2880"/>
            <w:shd w:fill="F0F4F8" w:val="clear"/>
          </w:tcPr>
          <w:p>
            <w:r>
              <w:rPr>
                <w:sz w:val="18"/>
              </w:rPr>
              <w:t>low</w:t>
            </w:r>
          </w:p>
        </w:tc>
        <w:tc>
          <w:tcPr>
            <w:tcW w:type="dxa" w:w="2880"/>
            <w:shd w:fill="F0F4F8" w:val="clear"/>
          </w:tcPr>
          <w:p>
            <w:r>
              <w:rPr>
                <w:sz w:val="18"/>
              </w:rPr>
              <w:t>medium</w:t>
            </w:r>
          </w:p>
        </w:tc>
        <w:tc>
          <w:tcPr>
            <w:tcW w:type="dxa" w:w="2880"/>
            <w:shd w:fill="F0F4F8" w:val="clear"/>
          </w:tcPr>
          <w:p>
            <w:r>
              <w:rPr>
                <w:sz w:val="18"/>
              </w:rPr>
              <w:t>low</w:t>
            </w:r>
          </w:p>
        </w:tc>
      </w:tr>
      <w:tr>
        <w:tc>
          <w:tcPr>
            <w:tcW w:type="dxa" w:w="2880"/>
          </w:tcPr>
          <w:p>
            <w:r>
              <w:rPr>
                <w:sz w:val="18"/>
              </w:rPr>
              <w:t>low</w:t>
            </w:r>
          </w:p>
        </w:tc>
        <w:tc>
          <w:tcPr>
            <w:tcW w:type="dxa" w:w="2880"/>
          </w:tcPr>
          <w:p>
            <w:r>
              <w:rPr>
                <w:sz w:val="18"/>
              </w:rPr>
              <w:t>high</w:t>
            </w:r>
          </w:p>
        </w:tc>
        <w:tc>
          <w:tcPr>
            <w:tcW w:type="dxa" w:w="2880"/>
          </w:tcPr>
          <w:p>
            <w:r>
              <w:rPr>
                <w:sz w:val="18"/>
              </w:rPr>
              <w:t>medium</w:t>
            </w:r>
          </w:p>
        </w:tc>
      </w:tr>
      <w:tr>
        <w:tc>
          <w:tcPr>
            <w:tcW w:type="dxa" w:w="2880"/>
            <w:shd w:fill="F0F4F8" w:val="clear"/>
          </w:tcPr>
          <w:p>
            <w:r>
              <w:rPr>
                <w:sz w:val="18"/>
              </w:rPr>
              <w:t>medium</w:t>
            </w:r>
          </w:p>
        </w:tc>
        <w:tc>
          <w:tcPr>
            <w:tcW w:type="dxa" w:w="2880"/>
            <w:shd w:fill="F0F4F8" w:val="clear"/>
          </w:tcPr>
          <w:p>
            <w:r>
              <w:rPr>
                <w:sz w:val="18"/>
              </w:rPr>
              <w:t>low</w:t>
            </w:r>
          </w:p>
        </w:tc>
        <w:tc>
          <w:tcPr>
            <w:tcW w:type="dxa" w:w="2880"/>
            <w:shd w:fill="F0F4F8" w:val="clear"/>
          </w:tcPr>
          <w:p>
            <w:r>
              <w:rPr>
                <w:sz w:val="18"/>
              </w:rPr>
              <w:t>low</w:t>
            </w:r>
          </w:p>
        </w:tc>
      </w:tr>
      <w:tr>
        <w:tc>
          <w:tcPr>
            <w:tcW w:type="dxa" w:w="2880"/>
          </w:tcPr>
          <w:p>
            <w:r>
              <w:rPr>
                <w:sz w:val="18"/>
              </w:rPr>
              <w:t>medium</w:t>
            </w:r>
          </w:p>
        </w:tc>
        <w:tc>
          <w:tcPr>
            <w:tcW w:type="dxa" w:w="2880"/>
          </w:tcPr>
          <w:p>
            <w:r>
              <w:rPr>
                <w:sz w:val="18"/>
              </w:rPr>
              <w:t>medium</w:t>
            </w:r>
          </w:p>
        </w:tc>
        <w:tc>
          <w:tcPr>
            <w:tcW w:type="dxa" w:w="2880"/>
          </w:tcPr>
          <w:p>
            <w:r>
              <w:rPr>
                <w:sz w:val="18"/>
              </w:rPr>
              <w:t>medium</w:t>
            </w:r>
          </w:p>
        </w:tc>
      </w:tr>
      <w:tr>
        <w:tc>
          <w:tcPr>
            <w:tcW w:type="dxa" w:w="2880"/>
            <w:shd w:fill="F0F4F8" w:val="clear"/>
          </w:tcPr>
          <w:p>
            <w:r>
              <w:rPr>
                <w:sz w:val="18"/>
              </w:rPr>
              <w:t>medium</w:t>
            </w:r>
          </w:p>
        </w:tc>
        <w:tc>
          <w:tcPr>
            <w:tcW w:type="dxa" w:w="2880"/>
            <w:shd w:fill="F0F4F8" w:val="clear"/>
          </w:tcPr>
          <w:p>
            <w:r>
              <w:rPr>
                <w:sz w:val="18"/>
              </w:rPr>
              <w:t>high</w:t>
            </w:r>
          </w:p>
        </w:tc>
        <w:tc>
          <w:tcPr>
            <w:tcW w:type="dxa" w:w="2880"/>
            <w:shd w:fill="F0F4F8" w:val="clear"/>
          </w:tcPr>
          <w:p>
            <w:r>
              <w:rPr>
                <w:sz w:val="18"/>
              </w:rPr>
              <w:t>high</w:t>
            </w:r>
          </w:p>
        </w:tc>
      </w:tr>
      <w:tr>
        <w:tc>
          <w:tcPr>
            <w:tcW w:type="dxa" w:w="2880"/>
          </w:tcPr>
          <w:p>
            <w:r>
              <w:rPr>
                <w:sz w:val="18"/>
              </w:rPr>
              <w:t>high</w:t>
            </w:r>
          </w:p>
        </w:tc>
        <w:tc>
          <w:tcPr>
            <w:tcW w:type="dxa" w:w="2880"/>
          </w:tcPr>
          <w:p>
            <w:r>
              <w:rPr>
                <w:sz w:val="18"/>
              </w:rPr>
              <w:t>low</w:t>
            </w:r>
          </w:p>
        </w:tc>
        <w:tc>
          <w:tcPr>
            <w:tcW w:type="dxa" w:w="2880"/>
          </w:tcPr>
          <w:p>
            <w:r>
              <w:rPr>
                <w:sz w:val="18"/>
              </w:rPr>
              <w:t>medium</w:t>
            </w:r>
          </w:p>
        </w:tc>
      </w:tr>
      <w:tr>
        <w:tc>
          <w:tcPr>
            <w:tcW w:type="dxa" w:w="2880"/>
            <w:shd w:fill="F0F4F8" w:val="clear"/>
          </w:tcPr>
          <w:p>
            <w:r>
              <w:rPr>
                <w:sz w:val="18"/>
              </w:rPr>
              <w:t>high</w:t>
            </w:r>
          </w:p>
        </w:tc>
        <w:tc>
          <w:tcPr>
            <w:tcW w:type="dxa" w:w="2880"/>
            <w:shd w:fill="F0F4F8" w:val="clear"/>
          </w:tcPr>
          <w:p>
            <w:r>
              <w:rPr>
                <w:sz w:val="18"/>
              </w:rPr>
              <w:t>medium</w:t>
            </w:r>
          </w:p>
        </w:tc>
        <w:tc>
          <w:tcPr>
            <w:tcW w:type="dxa" w:w="2880"/>
            <w:shd w:fill="F0F4F8" w:val="clear"/>
          </w:tcPr>
          <w:p>
            <w:r>
              <w:rPr>
                <w:sz w:val="18"/>
              </w:rPr>
              <w:t>high</w:t>
            </w:r>
          </w:p>
        </w:tc>
      </w:tr>
      <w:tr>
        <w:tc>
          <w:tcPr>
            <w:tcW w:type="dxa" w:w="2880"/>
          </w:tcPr>
          <w:p>
            <w:r>
              <w:rPr>
                <w:sz w:val="18"/>
              </w:rPr>
              <w:t>high</w:t>
            </w:r>
          </w:p>
        </w:tc>
        <w:tc>
          <w:tcPr>
            <w:tcW w:type="dxa" w:w="2880"/>
          </w:tcPr>
          <w:p>
            <w:r>
              <w:rPr>
                <w:sz w:val="18"/>
              </w:rPr>
              <w:t>high</w:t>
            </w:r>
          </w:p>
        </w:tc>
        <w:tc>
          <w:tcPr>
            <w:tcW w:type="dxa" w:w="2880"/>
          </w:tcPr>
          <w:p>
            <w:r>
              <w:rPr>
                <w:sz w:val="18"/>
              </w:rPr>
              <w:t>critical</w:t>
            </w:r>
          </w:p>
        </w:tc>
      </w:tr>
    </w:tbl>
    <w:p>
      <w:pPr>
        <w:pStyle w:val="Heading2"/>
      </w:pPr>
      <w:r>
        <w:rPr>
          <w:color w:val="1B2A4A"/>
        </w:rPr>
        <w:t>Register at a glance</w:t>
      </w:r>
    </w:p>
    <w:tbl>
      <w:tblPr>
        <w:tblW w:type="auto" w:w="0"/>
        <w:jc w:val="center"/>
        <w:tblLook w:firstColumn="1" w:firstRow="1" w:lastColumn="0" w:lastRow="0" w:noHBand="0" w:noVBand="1" w:val="04A0"/>
        <w:tblBorders>
          <w:top w:val="single" w:sz="4" w:space="0" w:color="BDC3C7"/>
          <w:left w:val="single" w:sz="4" w:space="0" w:color="BDC3C7"/>
          <w:bottom w:val="single" w:sz="4" w:space="0" w:color="BDC3C7"/>
          <w:right w:val="single" w:sz="4" w:space="0" w:color="BDC3C7"/>
          <w:insideH w:val="single" w:sz="4" w:space="0" w:color="BDC3C7"/>
          <w:insideV w:val="single" w:sz="4" w:space="0" w:color="BDC3C7"/>
        </w:tblBorders>
      </w:tblPr>
      <w:tblGrid>
        <w:gridCol w:w="1440"/>
        <w:gridCol w:w="1440"/>
        <w:gridCol w:w="1440"/>
        <w:gridCol w:w="1440"/>
        <w:gridCol w:w="1440"/>
        <w:gridCol w:w="1440"/>
      </w:tblGrid>
      <w:tr>
        <w:tc>
          <w:tcPr>
            <w:tcW w:type="dxa" w:w="1440"/>
            <w:shd w:fill="1B2A4A" w:val="clear"/>
          </w:tcPr>
          <w:p>
            <w:pPr>
              <w:jc w:val="left"/>
            </w:pPr>
            <w:r>
              <w:rPr>
                <w:b/>
                <w:color w:val="FFFFFF"/>
                <w:sz w:val="18"/>
              </w:rPr>
              <w:t>ID</w:t>
            </w:r>
          </w:p>
        </w:tc>
        <w:tc>
          <w:tcPr>
            <w:tcW w:type="dxa" w:w="1440"/>
            <w:shd w:fill="1B2A4A" w:val="clear"/>
          </w:tcPr>
          <w:p>
            <w:pPr>
              <w:jc w:val="left"/>
            </w:pPr>
            <w:r>
              <w:rPr>
                <w:b/>
                <w:color w:val="FFFFFF"/>
                <w:sz w:val="18"/>
              </w:rPr>
              <w:t>Title</w:t>
            </w:r>
          </w:p>
        </w:tc>
        <w:tc>
          <w:tcPr>
            <w:tcW w:type="dxa" w:w="1440"/>
            <w:shd w:fill="1B2A4A" w:val="clear"/>
          </w:tcPr>
          <w:p>
            <w:pPr>
              <w:jc w:val="left"/>
            </w:pPr>
            <w:r>
              <w:rPr>
                <w:b/>
                <w:color w:val="FFFFFF"/>
                <w:sz w:val="18"/>
              </w:rPr>
              <w:t>Likelihood</w:t>
            </w:r>
          </w:p>
        </w:tc>
        <w:tc>
          <w:tcPr>
            <w:tcW w:type="dxa" w:w="1440"/>
            <w:shd w:fill="1B2A4A" w:val="clear"/>
          </w:tcPr>
          <w:p>
            <w:pPr>
              <w:jc w:val="left"/>
            </w:pPr>
            <w:r>
              <w:rPr>
                <w:b/>
                <w:color w:val="FFFFFF"/>
                <w:sz w:val="18"/>
              </w:rPr>
              <w:t>Impact</w:t>
            </w:r>
          </w:p>
        </w:tc>
        <w:tc>
          <w:tcPr>
            <w:tcW w:type="dxa" w:w="1440"/>
            <w:shd w:fill="1B2A4A" w:val="clear"/>
          </w:tcPr>
          <w:p>
            <w:pPr>
              <w:jc w:val="left"/>
            </w:pPr>
            <w:r>
              <w:rPr>
                <w:b/>
                <w:color w:val="FFFFFF"/>
                <w:sz w:val="18"/>
              </w:rPr>
              <w:t>Score</w:t>
            </w:r>
          </w:p>
        </w:tc>
        <w:tc>
          <w:tcPr>
            <w:tcW w:type="dxa" w:w="1440"/>
            <w:shd w:fill="1B2A4A" w:val="clear"/>
          </w:tcPr>
          <w:p>
            <w:pPr>
              <w:jc w:val="left"/>
            </w:pPr>
            <w:r>
              <w:rPr>
                <w:b/>
                <w:color w:val="FFFFFF"/>
                <w:sz w:val="18"/>
              </w:rPr>
              <w:t>Owner</w:t>
            </w:r>
          </w:p>
        </w:tc>
      </w:tr>
      <w:tr>
        <w:tc>
          <w:tcPr>
            <w:tcW w:type="dxa" w:w="1440"/>
          </w:tcPr>
          <w:p>
            <w:r>
              <w:rPr>
                <w:sz w:val="18"/>
              </w:rPr>
              <w:t>R-01-single-maintainer</w:t>
            </w:r>
          </w:p>
        </w:tc>
        <w:tc>
          <w:tcPr>
            <w:tcW w:type="dxa" w:w="1440"/>
          </w:tcPr>
          <w:p>
            <w:r>
              <w:rPr>
                <w:sz w:val="18"/>
              </w:rPr>
              <w:t>Single maintainer — bus factor of one</w:t>
            </w:r>
          </w:p>
        </w:tc>
        <w:tc>
          <w:tcPr>
            <w:tcW w:type="dxa" w:w="1440"/>
          </w:tcPr>
          <w:p>
            <w:r>
              <w:rPr>
                <w:sz w:val="18"/>
              </w:rPr>
              <w:t>high</w:t>
            </w:r>
          </w:p>
        </w:tc>
        <w:tc>
          <w:tcPr>
            <w:tcW w:type="dxa" w:w="1440"/>
          </w:tcPr>
          <w:p>
            <w:r>
              <w:rPr>
                <w:sz w:val="18"/>
              </w:rPr>
              <w:t>high</w:t>
            </w:r>
          </w:p>
        </w:tc>
        <w:tc>
          <w:tcPr>
            <w:tcW w:type="dxa" w:w="1440"/>
          </w:tcPr>
          <w:p>
            <w:r>
              <w:rPr>
                <w:sz w:val="18"/>
              </w:rPr>
              <w:t>critical</w:t>
            </w:r>
          </w:p>
        </w:tc>
        <w:tc>
          <w:tcPr>
            <w:tcW w:type="dxa" w:w="1440"/>
          </w:tcPr>
          <w:p>
            <w:r>
              <w:rPr>
                <w:sz w:val="18"/>
              </w:rPr>
            </w:r>
          </w:p>
        </w:tc>
      </w:tr>
      <w:tr>
        <w:tc>
          <w:tcPr>
            <w:tcW w:type="dxa" w:w="1440"/>
            <w:shd w:fill="F0F4F8" w:val="clear"/>
          </w:tcPr>
          <w:p>
            <w:r>
              <w:rPr>
                <w:sz w:val="18"/>
              </w:rPr>
              <w:t>R-02-stale-orchestrator-refs</w:t>
            </w:r>
          </w:p>
        </w:tc>
        <w:tc>
          <w:tcPr>
            <w:tcW w:type="dxa" w:w="1440"/>
            <w:shd w:fill="F0F4F8" w:val="clear"/>
          </w:tcPr>
          <w:p>
            <w:r>
              <w:rPr>
                <w:sz w:val="18"/>
              </w:rPr>
              <w:t>Orchestrator SKILL.md contains stale v1 skill references</w:t>
            </w:r>
          </w:p>
        </w:tc>
        <w:tc>
          <w:tcPr>
            <w:tcW w:type="dxa" w:w="1440"/>
            <w:shd w:fill="F0F4F8" w:val="clear"/>
          </w:tcPr>
          <w:p>
            <w:r>
              <w:rPr>
                <w:sz w:val="18"/>
              </w:rPr>
              <w:t>high</w:t>
            </w:r>
          </w:p>
        </w:tc>
        <w:tc>
          <w:tcPr>
            <w:tcW w:type="dxa" w:w="1440"/>
            <w:shd w:fill="F0F4F8" w:val="clear"/>
          </w:tcPr>
          <w:p>
            <w:r>
              <w:rPr>
                <w:sz w:val="18"/>
              </w:rPr>
              <w:t>medium</w:t>
            </w:r>
          </w:p>
        </w:tc>
        <w:tc>
          <w:tcPr>
            <w:tcW w:type="dxa" w:w="1440"/>
            <w:shd w:fill="F0F4F8" w:val="clear"/>
          </w:tcPr>
          <w:p>
            <w:r>
              <w:rPr>
                <w:sz w:val="18"/>
              </w:rPr>
              <w:t>high</w:t>
            </w:r>
          </w:p>
        </w:tc>
        <w:tc>
          <w:tcPr>
            <w:tcW w:type="dxa" w:w="1440"/>
            <w:shd w:fill="F0F4F8" w:val="clear"/>
          </w:tcPr>
          <w:p>
            <w:r>
              <w:rPr>
                <w:sz w:val="18"/>
              </w:rPr>
            </w:r>
          </w:p>
        </w:tc>
      </w:tr>
      <w:tr>
        <w:tc>
          <w:tcPr>
            <w:tcW w:type="dxa" w:w="1440"/>
          </w:tcPr>
          <w:p>
            <w:r>
              <w:rPr>
                <w:sz w:val="18"/>
              </w:rPr>
              <w:t>R-03-no-tests-or-ci</w:t>
            </w:r>
          </w:p>
        </w:tc>
        <w:tc>
          <w:tcPr>
            <w:tcW w:type="dxa" w:w="1440"/>
          </w:tcPr>
          <w:p>
            <w:r>
              <w:rPr>
                <w:sz w:val="18"/>
              </w:rPr>
              <w:t>Zero automated tests or CI/CD pipeline</w:t>
            </w:r>
          </w:p>
        </w:tc>
        <w:tc>
          <w:tcPr>
            <w:tcW w:type="dxa" w:w="1440"/>
          </w:tcPr>
          <w:p>
            <w:r>
              <w:rPr>
                <w:sz w:val="18"/>
              </w:rPr>
              <w:t>high</w:t>
            </w:r>
          </w:p>
        </w:tc>
        <w:tc>
          <w:tcPr>
            <w:tcW w:type="dxa" w:w="1440"/>
          </w:tcPr>
          <w:p>
            <w:r>
              <w:rPr>
                <w:sz w:val="18"/>
              </w:rPr>
              <w:t>high</w:t>
            </w:r>
          </w:p>
        </w:tc>
        <w:tc>
          <w:tcPr>
            <w:tcW w:type="dxa" w:w="1440"/>
          </w:tcPr>
          <w:p>
            <w:r>
              <w:rPr>
                <w:sz w:val="18"/>
              </w:rPr>
              <w:t>critical</w:t>
            </w:r>
          </w:p>
        </w:tc>
        <w:tc>
          <w:tcPr>
            <w:tcW w:type="dxa" w:w="1440"/>
          </w:tcPr>
          <w:p>
            <w:r>
              <w:rPr>
                <w:sz w:val="18"/>
              </w:rPr>
            </w:r>
          </w:p>
        </w:tc>
      </w:tr>
      <w:tr>
        <w:tc>
          <w:tcPr>
            <w:tcW w:type="dxa" w:w="1440"/>
            <w:shd w:fill="F0F4F8" w:val="clear"/>
          </w:tcPr>
          <w:p>
            <w:r>
              <w:rPr>
                <w:sz w:val="18"/>
              </w:rPr>
              <w:t>R-04-starter-packs-incomplete</w:t>
            </w:r>
          </w:p>
        </w:tc>
        <w:tc>
          <w:tcPr>
            <w:tcW w:type="dxa" w:w="1440"/>
            <w:shd w:fill="F0F4F8" w:val="clear"/>
          </w:tcPr>
          <w:p>
            <w:r>
              <w:rPr>
                <w:sz w:val="18"/>
              </w:rPr>
              <w:t>Starter packs ship without declared profiles</w:t>
            </w:r>
          </w:p>
        </w:tc>
        <w:tc>
          <w:tcPr>
            <w:tcW w:type="dxa" w:w="1440"/>
            <w:shd w:fill="F0F4F8" w:val="clear"/>
          </w:tcPr>
          <w:p>
            <w:r>
              <w:rPr>
                <w:sz w:val="18"/>
              </w:rPr>
              <w:t>high</w:t>
            </w:r>
          </w:p>
        </w:tc>
        <w:tc>
          <w:tcPr>
            <w:tcW w:type="dxa" w:w="1440"/>
            <w:shd w:fill="F0F4F8" w:val="clear"/>
          </w:tcPr>
          <w:p>
            <w:r>
              <w:rPr>
                <w:sz w:val="18"/>
              </w:rPr>
              <w:t>medium</w:t>
            </w:r>
          </w:p>
        </w:tc>
        <w:tc>
          <w:tcPr>
            <w:tcW w:type="dxa" w:w="1440"/>
            <w:shd w:fill="F0F4F8" w:val="clear"/>
          </w:tcPr>
          <w:p>
            <w:r>
              <w:rPr>
                <w:sz w:val="18"/>
              </w:rPr>
              <w:t>high</w:t>
            </w:r>
          </w:p>
        </w:tc>
        <w:tc>
          <w:tcPr>
            <w:tcW w:type="dxa" w:w="1440"/>
            <w:shd w:fill="F0F4F8" w:val="clear"/>
          </w:tcPr>
          <w:p>
            <w:r>
              <w:rPr>
                <w:sz w:val="18"/>
              </w:rPr>
            </w:r>
          </w:p>
        </w:tc>
      </w:tr>
      <w:tr>
        <w:tc>
          <w:tcPr>
            <w:tcW w:type="dxa" w:w="1440"/>
          </w:tcPr>
          <w:p>
            <w:r>
              <w:rPr>
                <w:sz w:val="18"/>
              </w:rPr>
              <w:t>R-05-scsiwyg-api-dependency</w:t>
            </w:r>
          </w:p>
        </w:tc>
        <w:tc>
          <w:tcPr>
            <w:tcW w:type="dxa" w:w="1440"/>
          </w:tcPr>
          <w:p>
            <w:r>
              <w:rPr>
                <w:sz w:val="18"/>
              </w:rPr>
              <w:t>Hard dependency on scsiwyg API with no local fallback</w:t>
            </w:r>
          </w:p>
        </w:tc>
        <w:tc>
          <w:tcPr>
            <w:tcW w:type="dxa" w:w="1440"/>
          </w:tcPr>
          <w:p>
            <w:r>
              <w:rPr>
                <w:sz w:val="18"/>
              </w:rPr>
              <w:t>medium</w:t>
            </w:r>
          </w:p>
        </w:tc>
        <w:tc>
          <w:tcPr>
            <w:tcW w:type="dxa" w:w="1440"/>
          </w:tcPr>
          <w:p>
            <w:r>
              <w:rPr>
                <w:sz w:val="18"/>
              </w:rPr>
              <w:t>medium</w:t>
            </w:r>
          </w:p>
        </w:tc>
        <w:tc>
          <w:tcPr>
            <w:tcW w:type="dxa" w:w="1440"/>
          </w:tcPr>
          <w:p>
            <w:r>
              <w:rPr>
                <w:sz w:val="18"/>
              </w:rPr>
              <w:t>medium</w:t>
            </w:r>
          </w:p>
        </w:tc>
        <w:tc>
          <w:tcPr>
            <w:tcW w:type="dxa" w:w="1440"/>
          </w:tcPr>
          <w:p>
            <w:r>
              <w:rPr>
                <w:sz w:val="18"/>
              </w:rPr>
            </w:r>
          </w:p>
        </w:tc>
      </w:tr>
      <w:tr>
        <w:tc>
          <w:tcPr>
            <w:tcW w:type="dxa" w:w="1440"/>
            <w:shd w:fill="F0F4F8" w:val="clear"/>
          </w:tcPr>
          <w:p>
            <w:r>
              <w:rPr>
                <w:sz w:val="18"/>
              </w:rPr>
              <w:t>R-06-compliance-pack-depth</w:t>
            </w:r>
          </w:p>
        </w:tc>
        <w:tc>
          <w:tcPr>
            <w:tcW w:type="dxa" w:w="1440"/>
            <w:shd w:fill="F0F4F8" w:val="clear"/>
          </w:tcPr>
          <w:p>
            <w:r>
              <w:rPr>
                <w:sz w:val="18"/>
              </w:rPr>
              <w:t>Compliance pack research depth — Wave 1 and Wave 2 are aspirational</w:t>
            </w:r>
          </w:p>
        </w:tc>
        <w:tc>
          <w:tcPr>
            <w:tcW w:type="dxa" w:w="1440"/>
            <w:shd w:fill="F0F4F8" w:val="clear"/>
          </w:tcPr>
          <w:p>
            <w:r>
              <w:rPr>
                <w:sz w:val="18"/>
              </w:rPr>
              <w:t>high</w:t>
            </w:r>
          </w:p>
        </w:tc>
        <w:tc>
          <w:tcPr>
            <w:tcW w:type="dxa" w:w="1440"/>
            <w:shd w:fill="F0F4F8" w:val="clear"/>
          </w:tcPr>
          <w:p>
            <w:r>
              <w:rPr>
                <w:sz w:val="18"/>
              </w:rPr>
              <w:t>medium</w:t>
            </w:r>
          </w:p>
        </w:tc>
        <w:tc>
          <w:tcPr>
            <w:tcW w:type="dxa" w:w="1440"/>
            <w:shd w:fill="F0F4F8" w:val="clear"/>
          </w:tcPr>
          <w:p>
            <w:r>
              <w:rPr>
                <w:sz w:val="18"/>
              </w:rPr>
              <w:t>high</w:t>
            </w:r>
          </w:p>
        </w:tc>
        <w:tc>
          <w:tcPr>
            <w:tcW w:type="dxa" w:w="1440"/>
            <w:shd w:fill="F0F4F8" w:val="clear"/>
          </w:tcPr>
          <w:p>
            <w:r>
              <w:rPr>
                <w:sz w:val="18"/>
              </w:rPr>
            </w:r>
          </w:p>
        </w:tc>
      </w:tr>
      <w:tr>
        <w:tc>
          <w:tcPr>
            <w:tcW w:type="dxa" w:w="1440"/>
          </w:tcPr>
          <w:p>
            <w:r>
              <w:rPr>
                <w:sz w:val="18"/>
              </w:rPr>
              <w:t>R-07-timeline-overload</w:t>
            </w:r>
          </w:p>
        </w:tc>
        <w:tc>
          <w:tcPr>
            <w:tcW w:type="dxa" w:w="1440"/>
          </w:tcPr>
          <w:p>
            <w:r>
              <w:rPr>
                <w:sz w:val="18"/>
              </w:rPr>
              <w:t>Overlapping milestone timeline for a single person — 9 milestones in 5 months</w:t>
            </w:r>
          </w:p>
        </w:tc>
        <w:tc>
          <w:tcPr>
            <w:tcW w:type="dxa" w:w="1440"/>
          </w:tcPr>
          <w:p>
            <w:r>
              <w:rPr>
                <w:sz w:val="18"/>
              </w:rPr>
              <w:t>high</w:t>
            </w:r>
          </w:p>
        </w:tc>
        <w:tc>
          <w:tcPr>
            <w:tcW w:type="dxa" w:w="1440"/>
          </w:tcPr>
          <w:p>
            <w:r>
              <w:rPr>
                <w:sz w:val="18"/>
              </w:rPr>
              <w:t>high</w:t>
            </w:r>
          </w:p>
        </w:tc>
        <w:tc>
          <w:tcPr>
            <w:tcW w:type="dxa" w:w="1440"/>
          </w:tcPr>
          <w:p>
            <w:r>
              <w:rPr>
                <w:sz w:val="18"/>
              </w:rPr>
              <w:t>critical</w:t>
            </w:r>
          </w:p>
        </w:tc>
        <w:tc>
          <w:tcPr>
            <w:tcW w:type="dxa" w:w="1440"/>
          </w:tcPr>
          <w:p>
            <w:r>
              <w:rPr>
                <w:sz w:val="18"/>
              </w:rPr>
            </w:r>
          </w:p>
        </w:tc>
      </w:tr>
      <w:tr>
        <w:tc>
          <w:tcPr>
            <w:tcW w:type="dxa" w:w="1440"/>
            <w:shd w:fill="F0F4F8" w:val="clear"/>
          </w:tcPr>
          <w:p>
            <w:r>
              <w:rPr>
                <w:sz w:val="18"/>
              </w:rPr>
              <w:t>R-08-silent-error-swallowing</w:t>
            </w:r>
          </w:p>
        </w:tc>
        <w:tc>
          <w:tcPr>
            <w:tcW w:type="dxa" w:w="1440"/>
            <w:shd w:fill="F0F4F8" w:val="clear"/>
          </w:tcPr>
          <w:p>
            <w:r>
              <w:rPr>
                <w:sz w:val="18"/>
              </w:rPr>
              <w:t>Silent error swallowing in website state and API layers</w:t>
            </w:r>
          </w:p>
        </w:tc>
        <w:tc>
          <w:tcPr>
            <w:tcW w:type="dxa" w:w="1440"/>
            <w:shd w:fill="F0F4F8" w:val="clear"/>
          </w:tcPr>
          <w:p>
            <w:r>
              <w:rPr>
                <w:sz w:val="18"/>
              </w:rPr>
              <w:t>medium</w:t>
            </w:r>
          </w:p>
        </w:tc>
        <w:tc>
          <w:tcPr>
            <w:tcW w:type="dxa" w:w="1440"/>
            <w:shd w:fill="F0F4F8" w:val="clear"/>
          </w:tcPr>
          <w:p>
            <w:r>
              <w:rPr>
                <w:sz w:val="18"/>
              </w:rPr>
              <w:t>medium</w:t>
            </w:r>
          </w:p>
        </w:tc>
        <w:tc>
          <w:tcPr>
            <w:tcW w:type="dxa" w:w="1440"/>
            <w:shd w:fill="F0F4F8" w:val="clear"/>
          </w:tcPr>
          <w:p>
            <w:r>
              <w:rPr>
                <w:sz w:val="18"/>
              </w:rPr>
              <w:t>medium</w:t>
            </w:r>
          </w:p>
        </w:tc>
        <w:tc>
          <w:tcPr>
            <w:tcW w:type="dxa" w:w="1440"/>
            <w:shd w:fill="F0F4F8" w:val="clear"/>
          </w:tcPr>
          <w:p>
            <w:r>
              <w:rPr>
                <w:sz w:val="18"/>
              </w:rPr>
            </w:r>
          </w:p>
        </w:tc>
      </w:tr>
      <w:tr>
        <w:tc>
          <w:tcPr>
            <w:tcW w:type="dxa" w:w="1440"/>
          </w:tcPr>
          <w:p>
            <w:r>
              <w:rPr>
                <w:sz w:val="18"/>
              </w:rPr>
              <w:t>R-09-mcp-tool-stability</w:t>
            </w:r>
          </w:p>
        </w:tc>
        <w:tc>
          <w:tcPr>
            <w:tcW w:type="dxa" w:w="1440"/>
          </w:tcPr>
          <w:p>
            <w:r>
              <w:rPr>
                <w:sz w:val="18"/>
              </w:rPr>
              <w:t>MCP tool stability and Claude Code coupling</w:t>
            </w:r>
          </w:p>
        </w:tc>
        <w:tc>
          <w:tcPr>
            <w:tcW w:type="dxa" w:w="1440"/>
          </w:tcPr>
          <w:p>
            <w:r>
              <w:rPr>
                <w:sz w:val="18"/>
              </w:rPr>
              <w:t>medium</w:t>
            </w:r>
          </w:p>
        </w:tc>
        <w:tc>
          <w:tcPr>
            <w:tcW w:type="dxa" w:w="1440"/>
          </w:tcPr>
          <w:p>
            <w:r>
              <w:rPr>
                <w:sz w:val="18"/>
              </w:rPr>
              <w:t>high</w:t>
            </w:r>
          </w:p>
        </w:tc>
        <w:tc>
          <w:tcPr>
            <w:tcW w:type="dxa" w:w="1440"/>
          </w:tcPr>
          <w:p>
            <w:r>
              <w:rPr>
                <w:sz w:val="18"/>
              </w:rPr>
              <w:t>high</w:t>
            </w:r>
          </w:p>
        </w:tc>
        <w:tc>
          <w:tcPr>
            <w:tcW w:type="dxa" w:w="1440"/>
          </w:tcPr>
          <w:p>
            <w:r>
              <w:rPr>
                <w:sz w:val="18"/>
              </w:rPr>
            </w:r>
          </w:p>
        </w:tc>
      </w:tr>
      <w:tr>
        <w:tc>
          <w:tcPr>
            <w:tcW w:type="dxa" w:w="1440"/>
            <w:shd w:fill="F0F4F8" w:val="clear"/>
          </w:tcPr>
          <w:p>
            <w:r>
              <w:rPr>
                <w:sz w:val="18"/>
              </w:rPr>
              <w:t>R-10-no-community-infra</w:t>
            </w:r>
          </w:p>
        </w:tc>
        <w:tc>
          <w:tcPr>
            <w:tcW w:type="dxa" w:w="1440"/>
            <w:shd w:fill="F0F4F8" w:val="clear"/>
          </w:tcPr>
          <w:p>
            <w:r>
              <w:rPr>
                <w:sz w:val="18"/>
              </w:rPr>
              <w:t>No contributor pipeline or community infrastructure</w:t>
            </w:r>
          </w:p>
        </w:tc>
        <w:tc>
          <w:tcPr>
            <w:tcW w:type="dxa" w:w="1440"/>
            <w:shd w:fill="F0F4F8" w:val="clear"/>
          </w:tcPr>
          <w:p>
            <w:r>
              <w:rPr>
                <w:sz w:val="18"/>
              </w:rPr>
              <w:t>high</w:t>
            </w:r>
          </w:p>
        </w:tc>
        <w:tc>
          <w:tcPr>
            <w:tcW w:type="dxa" w:w="1440"/>
            <w:shd w:fill="F0F4F8" w:val="clear"/>
          </w:tcPr>
          <w:p>
            <w:r>
              <w:rPr>
                <w:sz w:val="18"/>
              </w:rPr>
              <w:t>medium</w:t>
            </w:r>
          </w:p>
        </w:tc>
        <w:tc>
          <w:tcPr>
            <w:tcW w:type="dxa" w:w="1440"/>
            <w:shd w:fill="F0F4F8" w:val="clear"/>
          </w:tcPr>
          <w:p>
            <w:r>
              <w:rPr>
                <w:sz w:val="18"/>
              </w:rPr>
              <w:t>high</w:t>
            </w:r>
          </w:p>
        </w:tc>
        <w:tc>
          <w:tcPr>
            <w:tcW w:type="dxa" w:w="1440"/>
            <w:shd w:fill="F0F4F8" w:val="clear"/>
          </w:tcPr>
          <w:p>
            <w:r>
              <w:rPr>
                <w:sz w:val="18"/>
              </w:rPr>
            </w:r>
          </w:p>
        </w:tc>
      </w:tr>
      <w:tr>
        <w:tc>
          <w:tcPr>
            <w:tcW w:type="dxa" w:w="1440"/>
          </w:tcPr>
          <w:p>
            <w:r>
              <w:rPr>
                <w:sz w:val="18"/>
              </w:rPr>
              <w:t>R-11-website-path-assumption</w:t>
            </w:r>
          </w:p>
        </w:tc>
        <w:tc>
          <w:tcPr>
            <w:tcW w:type="dxa" w:w="1440"/>
          </w:tcPr>
          <w:p>
            <w:r>
              <w:rPr>
                <w:sz w:val="18"/>
              </w:rPr>
              <w:t>Website state loading uses fragile relative path assumption</w:t>
            </w:r>
          </w:p>
        </w:tc>
        <w:tc>
          <w:tcPr>
            <w:tcW w:type="dxa" w:w="1440"/>
          </w:tcPr>
          <w:p>
            <w:r>
              <w:rPr>
                <w:sz w:val="18"/>
              </w:rPr>
              <w:t>medium</w:t>
            </w:r>
          </w:p>
        </w:tc>
        <w:tc>
          <w:tcPr>
            <w:tcW w:type="dxa" w:w="1440"/>
          </w:tcPr>
          <w:p>
            <w:r>
              <w:rPr>
                <w:sz w:val="18"/>
              </w:rPr>
              <w:t>medium</w:t>
            </w:r>
          </w:p>
        </w:tc>
        <w:tc>
          <w:tcPr>
            <w:tcW w:type="dxa" w:w="1440"/>
          </w:tcPr>
          <w:p>
            <w:r>
              <w:rPr>
                <w:sz w:val="18"/>
              </w:rPr>
              <w:t>medium</w:t>
            </w:r>
          </w:p>
        </w:tc>
        <w:tc>
          <w:tcPr>
            <w:tcW w:type="dxa" w:w="1440"/>
          </w:tcPr>
          <w:p>
            <w:r>
              <w:rPr>
                <w:sz w:val="18"/>
              </w:rPr>
            </w:r>
          </w:p>
        </w:tc>
      </w:tr>
    </w:tbl>
    <w:p>
      <w:pPr>
        <w:pStyle w:val="Heading2"/>
      </w:pPr>
      <w:r>
        <w:rPr>
          <w:color w:val="1B2A4A"/>
        </w:rPr>
        <w:t>Top 3 for weekly reporting</w:t>
      </w:r>
    </w:p>
    <w:p>
      <w:pPr>
        <w:pStyle w:val="BodyText"/>
      </w:pPr>
      <w:r>
        <w:t>R-01 — Single maintainer (critical; bus factor of one).</w:t>
      </w:r>
    </w:p>
    <w:p>
      <w:pPr>
        <w:pStyle w:val="BodyText"/>
      </w:pPr>
      <w:r>
        <w:t>R-03 — No automated tests or CI (critical; silent regression risk).</w:t>
      </w:r>
    </w:p>
    <w:p>
      <w:pPr>
        <w:pStyle w:val="BodyText"/>
      </w:pPr>
      <w:r>
        <w:t>R-07 — Timeline overload (critical; 9 milestones for one person).</w:t>
      </w:r>
    </w:p>
    <w:p>
      <w:pPr>
        <w:pStyle w:val="Heading1"/>
      </w:pPr>
      <w:r>
        <w:rPr>
          <w:color w:val="1B2A4A"/>
        </w:rPr>
        <w:t>Individual risk entries</w:t>
      </w:r>
    </w:p>
    <w:p>
      <w:pPr>
        <w:pStyle w:val="Heading2"/>
      </w:pPr>
      <w:r>
        <w:rPr>
          <w:color w:val="1B2A4A"/>
        </w:rPr>
        <w:t>R-01-single-maintainer — Single maintainer — bus factor of one</w:t>
      </w:r>
    </w:p>
    <w:p>
      <w:r>
        <w:rPr>
          <w:b/>
        </w:rPr>
        <w:t xml:space="preserve">Category: </w:t>
      </w:r>
      <w:r>
        <w:t xml:space="preserve">general  ·  </w:t>
      </w:r>
      <w:r>
        <w:rPr>
          <w:b/>
        </w:rPr>
        <w:t xml:space="preserve">Likelihood: </w:t>
      </w:r>
      <w:r>
        <w:t xml:space="preserve">high  ·  </w:t>
      </w:r>
      <w:r>
        <w:rPr>
          <w:b/>
        </w:rPr>
        <w:t xml:space="preserve">Impact: </w:t>
      </w:r>
      <w:r>
        <w:t xml:space="preserve">high  ·  </w:t>
      </w:r>
      <w:r>
        <w:rPr>
          <w:b/>
        </w:rPr>
        <w:t xml:space="preserve">Score: </w:t>
      </w:r>
      <w:r>
        <w:t>critical</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Recruit at least one co-maintainer with write access. Prioritize PIC pack co-ownership (only production pack). Document the release process. Write a contributor onboarding guide.</w:t>
      </w:r>
    </w:p>
    <w:p>
      <w:pPr>
        <w:pStyle w:val="Heading3"/>
      </w:pPr>
      <w:r>
        <w:rPr>
          <w:color w:val="1B2A4A"/>
        </w:rPr>
        <w:t>Contingency</w:t>
      </w:r>
    </w:p>
    <w:p>
      <w:pPr>
        <w:pStyle w:val="BodyText"/>
      </w:pPr>
      <w:r>
        <w:t>Substrate files remain functional on disk as plain YAML. Another person can operate read-only. No new packs, features, or bug fixes ship until a new maintainer is found.</w:t>
      </w:r>
    </w:p>
    <w:p>
      <w:pPr>
        <w:pStyle w:val="Heading2"/>
      </w:pPr>
      <w:r>
        <w:rPr>
          <w:color w:val="1B2A4A"/>
        </w:rPr>
        <w:t>R-02-stale-orchestrator-refs — Orchestrator SKILL.md contains stale v1 skill references</w:t>
      </w:r>
    </w:p>
    <w:p>
      <w:r>
        <w:rPr>
          <w:b/>
        </w:rPr>
        <w:t xml:space="preserve">Category: </w:t>
      </w:r>
      <w:r>
        <w:t xml:space="preserve">general  ·  </w:t>
      </w:r>
      <w:r>
        <w:rPr>
          <w:b/>
        </w:rPr>
        <w:t xml:space="preserve">Likelihood: </w:t>
      </w:r>
      <w:r>
        <w:t xml:space="preserve">high  ·  </w:t>
      </w:r>
      <w:r>
        <w:rPr>
          <w:b/>
        </w:rPr>
        <w:t xml:space="preserve">Impact: </w:t>
      </w:r>
      <w:r>
        <w:t xml:space="preserve">medium  ·  </w:t>
      </w:r>
      <w:r>
        <w:rPr>
          <w:b/>
        </w:rPr>
        <w:t xml:space="preserve">Score: </w:t>
      </w:r>
      <w:r>
        <w:t>high</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Update orchestrator SKILL.md to use generic v2 skill names (project-funder-reporting, project-review-meeting). Make routines conditional on whether the active pack provides those profiles.</w:t>
      </w:r>
    </w:p>
    <w:p>
      <w:pPr>
        <w:pStyle w:val="Heading3"/>
      </w:pPr>
      <w:r>
        <w:rPr>
          <w:color w:val="1B2A4A"/>
        </w:rPr>
        <w:t>Contingency</w:t>
      </w:r>
    </w:p>
    <w:p>
      <w:pPr>
        <w:pStyle w:val="BodyText"/>
      </w:pPr>
      <w:r>
        <w:t>Non-PIC users will see confusing orchestrator output referencing nonexistent skills. Workaround: document that quarterly/SC sections only apply when PIC pack is loaded.</w:t>
      </w:r>
    </w:p>
    <w:p>
      <w:pPr>
        <w:pStyle w:val="Heading2"/>
      </w:pPr>
      <w:r>
        <w:rPr>
          <w:color w:val="1B2A4A"/>
        </w:rPr>
        <w:t>R-03-no-tests-or-ci — Zero automated tests or CI/CD pipeline</w:t>
      </w:r>
    </w:p>
    <w:p>
      <w:r>
        <w:rPr>
          <w:b/>
        </w:rPr>
        <w:t xml:space="preserve">Category: </w:t>
      </w:r>
      <w:r>
        <w:t xml:space="preserve">general  ·  </w:t>
      </w:r>
      <w:r>
        <w:rPr>
          <w:b/>
        </w:rPr>
        <w:t xml:space="preserve">Likelihood: </w:t>
      </w:r>
      <w:r>
        <w:t xml:space="preserve">high  ·  </w:t>
      </w:r>
      <w:r>
        <w:rPr>
          <w:b/>
        </w:rPr>
        <w:t xml:space="preserve">Impact: </w:t>
      </w:r>
      <w:r>
        <w:t xml:space="preserve">high  ·  </w:t>
      </w:r>
      <w:r>
        <w:rPr>
          <w:b/>
        </w:rPr>
        <w:t xml:space="preserve">Score: </w:t>
      </w:r>
      <w:r>
        <w:t>critical</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Add a minimal validation suite as first deliverable of M09: schema validators for manifest.yaml, reporting-matrix.yaml, milestone files, and pack profiles. Wire into a pre-commit hook or GitHub Action. Higher priority than M03 (matrix editor).</w:t>
      </w:r>
    </w:p>
    <w:p>
      <w:pPr>
        <w:pStyle w:val="Heading3"/>
      </w:pPr>
      <w:r>
        <w:rPr>
          <w:color w:val="1B2A4A"/>
        </w:rPr>
        <w:t>Contingency</w:t>
      </w:r>
    </w:p>
    <w:p>
      <w:pPr>
        <w:pStyle w:val="BodyText"/>
      </w:pPr>
      <w:r>
        <w:t>Without tests, validate manually before each release using a checklist. Create a scripts/validate-substrate.sh that checks required fields.</w:t>
      </w:r>
    </w:p>
    <w:p>
      <w:pPr>
        <w:pStyle w:val="Heading2"/>
      </w:pPr>
      <w:r>
        <w:rPr>
          <w:color w:val="1B2A4A"/>
        </w:rPr>
        <w:t>R-04-starter-packs-incomplete — Starter packs ship without declared profiles</w:t>
      </w:r>
    </w:p>
    <w:p>
      <w:r>
        <w:rPr>
          <w:b/>
        </w:rPr>
        <w:t xml:space="preserve">Category: </w:t>
      </w:r>
      <w:r>
        <w:t xml:space="preserve">general  ·  </w:t>
      </w:r>
      <w:r>
        <w:rPr>
          <w:b/>
        </w:rPr>
        <w:t xml:space="preserve">Likelihood: </w:t>
      </w:r>
      <w:r>
        <w:t xml:space="preserve">high  ·  </w:t>
      </w:r>
      <w:r>
        <w:rPr>
          <w:b/>
        </w:rPr>
        <w:t xml:space="preserve">Impact: </w:t>
      </w:r>
      <w:r>
        <w:t xml:space="preserve">medium  ·  </w:t>
      </w:r>
      <w:r>
        <w:rPr>
          <w:b/>
        </w:rPr>
        <w:t xml:space="preserve">Score: </w:t>
      </w:r>
      <w:r>
        <w:t>high</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Either ship the missing profile YAMLs (e.g. agile-default.review-meeting, agile-default.phase-gate) or remove the provides.profiles entries from pack manifests. Do not declare capabilities the pack does not deliver.</w:t>
      </w:r>
    </w:p>
    <w:p>
      <w:pPr>
        <w:pStyle w:val="Heading3"/>
      </w:pPr>
      <w:r>
        <w:rPr>
          <w:color w:val="1B2A4A"/>
        </w:rPr>
        <w:t>Contingency</w:t>
      </w:r>
    </w:p>
    <w:p>
      <w:pPr>
        <w:pStyle w:val="BodyText"/>
      </w:pPr>
      <w:r>
        <w:t>Document clearly that starter packs require user-authored profiles before use. Add a startup validation check that warns when a loaded pack declares profiles that do not exist on disk.</w:t>
      </w:r>
    </w:p>
    <w:p>
      <w:pPr>
        <w:pStyle w:val="Heading2"/>
      </w:pPr>
      <w:r>
        <w:rPr>
          <w:color w:val="1B2A4A"/>
        </w:rPr>
        <w:t>R-05-scsiwyg-api-dependency — Hard dependency on scsiwyg API with no local fallback</w:t>
      </w:r>
    </w:p>
    <w:p>
      <w:r>
        <w:rPr>
          <w:b/>
        </w:rPr>
        <w:t xml:space="preserve">Category: </w:t>
      </w:r>
      <w:r>
        <w:t xml:space="preserve">general  ·  </w:t>
      </w:r>
      <w:r>
        <w:rPr>
          <w:b/>
        </w:rPr>
        <w:t xml:space="preserve">Likelihood: </w:t>
      </w:r>
      <w:r>
        <w:t xml:space="preserve">medium  ·  </w:t>
      </w:r>
      <w:r>
        <w:rPr>
          <w:b/>
        </w:rPr>
        <w:t xml:space="preserve">Impact: </w:t>
      </w:r>
      <w:r>
        <w:t xml:space="preserve">medium  ·  </w:t>
      </w:r>
      <w:r>
        <w:rPr>
          <w:b/>
        </w:rPr>
        <w:t xml:space="preserve">Score: </w:t>
      </w:r>
      <w:r>
        <w:t>medium</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Add a local content cache that persists the last successful API response to disk. The regenerate script should snapshot blog content at build time so static exports don't depend on runtime API availability.</w:t>
      </w:r>
    </w:p>
    <w:p>
      <w:pPr>
        <w:pStyle w:val="Heading3"/>
      </w:pPr>
      <w:r>
        <w:rPr>
          <w:color w:val="1B2A4A"/>
        </w:rPr>
        <w:t>Contingency</w:t>
      </w:r>
    </w:p>
    <w:p>
      <w:pPr>
        <w:pStyle w:val="BodyText"/>
      </w:pPr>
      <w:r>
        <w:t>If scsiwyg goes down permanently, rewrite lib/scsiwyg.ts to read from local markdown files in a content/blog/ directory instead. Blog posts already exist as markdown in the API response body.</w:t>
      </w:r>
    </w:p>
    <w:p>
      <w:pPr>
        <w:pStyle w:val="Heading2"/>
      </w:pPr>
      <w:r>
        <w:rPr>
          <w:color w:val="1B2A4A"/>
        </w:rPr>
        <w:t>R-06-compliance-pack-depth — Compliance pack research depth — Wave 1 and Wave 2 are aspirational</w:t>
      </w:r>
    </w:p>
    <w:p>
      <w:r>
        <w:rPr>
          <w:b/>
        </w:rPr>
        <w:t xml:space="preserve">Category: </w:t>
      </w:r>
      <w:r>
        <w:t xml:space="preserve">general  ·  </w:t>
      </w:r>
      <w:r>
        <w:rPr>
          <w:b/>
        </w:rPr>
        <w:t xml:space="preserve">Likelihood: </w:t>
      </w:r>
      <w:r>
        <w:t xml:space="preserve">high  ·  </w:t>
      </w:r>
      <w:r>
        <w:rPr>
          <w:b/>
        </w:rPr>
        <w:t xml:space="preserve">Impact: </w:t>
      </w:r>
      <w:r>
        <w:t xml:space="preserve">medium  ·  </w:t>
      </w:r>
      <w:r>
        <w:rPr>
          <w:b/>
        </w:rPr>
        <w:t xml:space="preserve">Score: </w:t>
      </w:r>
      <w:r>
        <w:t>high</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Descope to 1 pack per wave the maintainer has access to validate (e.g. NSERC). Solicit community contributions for others via blog and issue tracker. Reframe roadmap as community-driven rather than single-author.</w:t>
      </w:r>
    </w:p>
    <w:p>
      <w:pPr>
        <w:pStyle w:val="Heading3"/>
      </w:pPr>
      <w:r>
        <w:rPr>
          <w:color w:val="1B2A4A"/>
        </w:rPr>
        <w:t>Contingency</w:t>
      </w:r>
    </w:p>
    <w:p>
      <w:pPr>
        <w:pStyle w:val="BodyText"/>
      </w:pPr>
      <w:r>
        <w:t>If no domain experts contribute, publish packs as experimental maturity with clear warnings. Focus effort on making the pack authoring guide and PIC pack so exemplary that others can self-serve.</w:t>
      </w:r>
    </w:p>
    <w:p>
      <w:pPr>
        <w:pStyle w:val="Heading2"/>
      </w:pPr>
      <w:r>
        <w:rPr>
          <w:color w:val="1B2A4A"/>
        </w:rPr>
        <w:t>R-07-timeline-overload — Overlapping milestone timeline for a single person — 9 milestones in 5 months</w:t>
      </w:r>
    </w:p>
    <w:p>
      <w:r>
        <w:rPr>
          <w:b/>
        </w:rPr>
        <w:t xml:space="preserve">Category: </w:t>
      </w:r>
      <w:r>
        <w:t xml:space="preserve">general  ·  </w:t>
      </w:r>
      <w:r>
        <w:rPr>
          <w:b/>
        </w:rPr>
        <w:t xml:space="preserve">Likelihood: </w:t>
      </w:r>
      <w:r>
        <w:t xml:space="preserve">high  ·  </w:t>
      </w:r>
      <w:r>
        <w:rPr>
          <w:b/>
        </w:rPr>
        <w:t xml:space="preserve">Impact: </w:t>
      </w:r>
      <w:r>
        <w:t xml:space="preserve">high  ·  </w:t>
      </w:r>
      <w:r>
        <w:rPr>
          <w:b/>
        </w:rPr>
        <w:t xml:space="preserve">Score: </w:t>
      </w:r>
      <w:r>
        <w:t>critical</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Ruthlessly prioritize. Highest-value milestones are M09 (validation suite — prevents silent corruption) and M02 (pack hardening — makes the system usable beyond PIC). Defer M03 (matrix editor), M07 (multi-project dashboard), and M04 (pack registry) to v2.2+. Accept that v2.1 will be smaller than planned.</w:t>
      </w:r>
    </w:p>
    <w:p>
      <w:pPr>
        <w:pStyle w:val="Heading3"/>
      </w:pPr>
      <w:r>
        <w:rPr>
          <w:color w:val="1B2A4A"/>
        </w:rPr>
        <w:t>Contingency</w:t>
      </w:r>
    </w:p>
    <w:p>
      <w:pPr>
        <w:pStyle w:val="BodyText"/>
      </w:pPr>
      <w:r>
        <w:t>If timeline slips, communicate openly via blog and changelog. Substrate format is stable — users are not blocked, they just don't get new features.</w:t>
      </w:r>
    </w:p>
    <w:p>
      <w:pPr>
        <w:pStyle w:val="Heading2"/>
      </w:pPr>
      <w:r>
        <w:rPr>
          <w:color w:val="1B2A4A"/>
        </w:rPr>
        <w:t>R-08-silent-error-swallowing — Silent error swallowing in website state and API layers</w:t>
      </w:r>
    </w:p>
    <w:p>
      <w:r>
        <w:rPr>
          <w:b/>
        </w:rPr>
        <w:t xml:space="preserve">Category: </w:t>
      </w:r>
      <w:r>
        <w:t xml:space="preserve">general  ·  </w:t>
      </w:r>
      <w:r>
        <w:rPr>
          <w:b/>
        </w:rPr>
        <w:t xml:space="preserve">Likelihood: </w:t>
      </w:r>
      <w:r>
        <w:t xml:space="preserve">medium  ·  </w:t>
      </w:r>
      <w:r>
        <w:rPr>
          <w:b/>
        </w:rPr>
        <w:t xml:space="preserve">Impact: </w:t>
      </w:r>
      <w:r>
        <w:t xml:space="preserve">medium  ·  </w:t>
      </w:r>
      <w:r>
        <w:rPr>
          <w:b/>
        </w:rPr>
        <w:t xml:space="preserve">Score: </w:t>
      </w:r>
      <w:r>
        <w:t>medium</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Add structured error logging in state readers (console.error before returning fallback). Collect errors into a _diagnostics object for dev/admin mode. Add a validate command that checks all substrate files parse correctly.</w:t>
      </w:r>
    </w:p>
    <w:p>
      <w:pPr>
        <w:pStyle w:val="Heading3"/>
      </w:pPr>
      <w:r>
        <w:rPr>
          <w:color w:val="1B2A4A"/>
        </w:rPr>
        <w:t>Contingency</w:t>
      </w:r>
    </w:p>
    <w:p>
      <w:pPr>
        <w:pStyle w:val="BodyText"/>
      </w:pPr>
      <w:r>
        <w:t>Users can run js-yaml CLI directly against YAML files to find parse errors. Document as a troubleshooting step.</w:t>
      </w:r>
    </w:p>
    <w:p>
      <w:pPr>
        <w:pStyle w:val="Heading2"/>
      </w:pPr>
      <w:r>
        <w:rPr>
          <w:color w:val="1B2A4A"/>
        </w:rPr>
        <w:t>R-09-mcp-tool-stability — MCP tool stability and Claude Code coupling</w:t>
      </w:r>
    </w:p>
    <w:p>
      <w:r>
        <w:rPr>
          <w:b/>
        </w:rPr>
        <w:t xml:space="preserve">Category: </w:t>
      </w:r>
      <w:r>
        <w:t xml:space="preserve">general  ·  </w:t>
      </w:r>
      <w:r>
        <w:rPr>
          <w:b/>
        </w:rPr>
        <w:t xml:space="preserve">Likelihood: </w:t>
      </w:r>
      <w:r>
        <w:t xml:space="preserve">medium  ·  </w:t>
      </w:r>
      <w:r>
        <w:rPr>
          <w:b/>
        </w:rPr>
        <w:t xml:space="preserve">Impact: </w:t>
      </w:r>
      <w:r>
        <w:t xml:space="preserve">high  ·  </w:t>
      </w:r>
      <w:r>
        <w:rPr>
          <w:b/>
        </w:rPr>
        <w:t xml:space="preserve">Score: </w:t>
      </w:r>
      <w:r>
        <w:t>high</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Document the MCP tools each skill depends on in a central manifest. Pin to specific MCP server versions where possible. Add a health-check routine that tests each MCP tool's availability before the orchestrator runs.</w:t>
      </w:r>
    </w:p>
    <w:p>
      <w:pPr>
        <w:pStyle w:val="Heading3"/>
      </w:pPr>
      <w:r>
        <w:rPr>
          <w:color w:val="1B2A4A"/>
        </w:rPr>
        <w:t>Contingency</w:t>
      </w:r>
    </w:p>
    <w:p>
      <w:pPr>
        <w:pStyle w:val="BodyText"/>
      </w:pPr>
      <w:r>
        <w:t>If MCP tools break, the substrate still works. Users lose surface automation (Slack posts, Gmail drafts, Calendar events) but can manually perform those actions. System degrades to 'generate artifacts on disk, deliver manually.'</w:t>
      </w:r>
    </w:p>
    <w:p>
      <w:pPr>
        <w:pStyle w:val="Heading2"/>
      </w:pPr>
      <w:r>
        <w:rPr>
          <w:color w:val="1B2A4A"/>
        </w:rPr>
        <w:t>R-10-no-community-infra — No contributor pipeline or community infrastructure</w:t>
      </w:r>
    </w:p>
    <w:p>
      <w:r>
        <w:rPr>
          <w:b/>
        </w:rPr>
        <w:t xml:space="preserve">Category: </w:t>
      </w:r>
      <w:r>
        <w:t xml:space="preserve">general  ·  </w:t>
      </w:r>
      <w:r>
        <w:rPr>
          <w:b/>
        </w:rPr>
        <w:t xml:space="preserve">Likelihood: </w:t>
      </w:r>
      <w:r>
        <w:t xml:space="preserve">high  ·  </w:t>
      </w:r>
      <w:r>
        <w:rPr>
          <w:b/>
        </w:rPr>
        <w:t xml:space="preserve">Impact: </w:t>
      </w:r>
      <w:r>
        <w:t xml:space="preserve">medium  ·  </w:t>
      </w:r>
      <w:r>
        <w:rPr>
          <w:b/>
        </w:rPr>
        <w:t xml:space="preserve">Score: </w:t>
      </w:r>
      <w:r>
        <w:t>high</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Push to a public GitHub repository with LICENSE, CONTRIBUTING.md, issue templates, and discussion forum. Make the PIC pack a showcase. Write a 'Your First Pack' tutorial as a blog post.</w:t>
      </w:r>
    </w:p>
    <w:p>
      <w:pPr>
        <w:pStyle w:val="Heading3"/>
      </w:pPr>
      <w:r>
        <w:rPr>
          <w:color w:val="1B2A4A"/>
        </w:rPr>
        <w:t>Contingency</w:t>
      </w:r>
    </w:p>
    <w:p>
      <w:pPr>
        <w:pStyle w:val="BodyText"/>
      </w:pPr>
      <w:r>
        <w:t>Accept the system serves a niche of one (maintainer's own projects) and optimize for that use case rather than pursuing generality.</w:t>
      </w:r>
    </w:p>
    <w:p>
      <w:pPr>
        <w:pStyle w:val="Heading2"/>
      </w:pPr>
      <w:r>
        <w:rPr>
          <w:color w:val="1B2A4A"/>
        </w:rPr>
        <w:t>R-11-website-path-assumption — Website state loading uses fragile relative path assumption</w:t>
      </w:r>
    </w:p>
    <w:p>
      <w:r>
        <w:rPr>
          <w:b/>
        </w:rPr>
        <w:t xml:space="preserve">Category: </w:t>
      </w:r>
      <w:r>
        <w:t xml:space="preserve">general  ·  </w:t>
      </w:r>
      <w:r>
        <w:rPr>
          <w:b/>
        </w:rPr>
        <w:t xml:space="preserve">Likelihood: </w:t>
      </w:r>
      <w:r>
        <w:t xml:space="preserve">medium  ·  </w:t>
      </w:r>
      <w:r>
        <w:rPr>
          <w:b/>
        </w:rPr>
        <w:t xml:space="preserve">Impact: </w:t>
      </w:r>
      <w:r>
        <w:t xml:space="preserve">medium  ·  </w:t>
      </w:r>
      <w:r>
        <w:rPr>
          <w:b/>
        </w:rPr>
        <w:t xml:space="preserve">Score: </w:t>
      </w:r>
      <w:r>
        <w:t>medium</w:t>
      </w:r>
    </w:p>
    <w:p>
      <w:r>
        <w:rPr>
          <w:b/>
        </w:rPr>
        <w:t xml:space="preserve">Owner: </w:t>
      </w:r>
      <w:r/>
    </w:p>
    <w:p>
      <w:pPr>
        <w:pStyle w:val="Heading3"/>
      </w:pPr>
      <w:r>
        <w:rPr>
          <w:color w:val="1B2A4A"/>
        </w:rPr>
        <w:t>Description</w:t>
      </w:r>
    </w:p>
    <w:p>
      <w:pPr>
        <w:pStyle w:val="BodyText"/>
      </w:pPr>
    </w:p>
    <w:p>
      <w:pPr>
        <w:pStyle w:val="Heading3"/>
      </w:pPr>
      <w:r>
        <w:rPr>
          <w:color w:val="1B2A4A"/>
        </w:rPr>
        <w:t>Mitigation</w:t>
      </w:r>
    </w:p>
    <w:p>
      <w:pPr>
        <w:pStyle w:val="BodyText"/>
      </w:pPr>
      <w:r>
        <w:t>Add a build-time data snapshot step: serialize all substrate data into JSON files inside the website directory so the deployed site doesn't depend on filesystem access to ../. Use a prebuild script that copies substrate YAML into content/ before next build runs.</w:t>
      </w:r>
    </w:p>
    <w:p>
      <w:pPr>
        <w:pStyle w:val="Heading3"/>
      </w:pPr>
      <w:r>
        <w:rPr>
          <w:color w:val="1B2A4A"/>
        </w:rPr>
        <w:t>Contingency</w:t>
      </w:r>
    </w:p>
    <w:p>
      <w:pPr>
        <w:pStyle w:val="BodyText"/>
      </w:pPr>
      <w:r>
        <w:t>For Vercel deployment, the current approach works because Vercel uploads the entire directory including parent paths. If deployed from a monorepo or CI, the prebuild step becomes mandatory.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