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color w:val="1B2A4A"/>
        </w:rPr>
        <w:t>project-state — Architecture Overview</w:t>
      </w:r>
    </w:p>
    <w:p>
      <w:r>
        <w:t>Date: 2026-04-28  ·  Version: v2.0</w:t>
      </w:r>
    </w:p>
    <w:p>
      <w:pPr>
        <w:pStyle w:val="Heading2"/>
      </w:pPr>
      <w:r>
        <w:rPr>
          <w:color w:val="1B2A4A"/>
        </w:rPr>
        <w:t>Three-layer architecture</w:t>
      </w:r>
    </w:p>
    <w:tbl>
      <w:tblPr>
        <w:tblW w:type="auto" w:w="0"/>
        <w:jc w:val="center"/>
        <w:tblLook w:firstColumn="1" w:firstRow="1" w:lastColumn="0" w:lastRow="0" w:noHBand="0" w:noVBand="1" w:val="04A0"/>
        <w:tblBorders>
          <w:top w:val="single" w:sz="4" w:space="0" w:color="BDC3C7"/>
          <w:left w:val="single" w:sz="4" w:space="0" w:color="BDC3C7"/>
          <w:bottom w:val="single" w:sz="4" w:space="0" w:color="BDC3C7"/>
          <w:right w:val="single" w:sz="4" w:space="0" w:color="BDC3C7"/>
          <w:insideH w:val="single" w:sz="4" w:space="0" w:color="BDC3C7"/>
          <w:insideV w:val="single" w:sz="4" w:space="0" w:color="BDC3C7"/>
        </w:tblBorders>
      </w:tblPr>
      <w:tblGrid>
        <w:gridCol w:w="2880"/>
        <w:gridCol w:w="2880"/>
        <w:gridCol w:w="2880"/>
      </w:tblGrid>
      <w:tr>
        <w:tc>
          <w:tcPr>
            <w:tcW w:type="dxa" w:w="2880"/>
            <w:shd w:fill="1B2A4A" w:val="clear"/>
          </w:tcPr>
          <w:p>
            <w:pPr>
              <w:jc w:val="left"/>
            </w:pPr>
            <w:r>
              <w:rPr>
                <w:b/>
                <w:color w:val="FFFFFF"/>
                <w:sz w:val="18"/>
              </w:rPr>
              <w:t>Layer</w:t>
            </w:r>
          </w:p>
        </w:tc>
        <w:tc>
          <w:tcPr>
            <w:tcW w:type="dxa" w:w="2880"/>
            <w:shd w:fill="1B2A4A" w:val="clear"/>
          </w:tcPr>
          <w:p>
            <w:pPr>
              <w:jc w:val="left"/>
            </w:pPr>
            <w:r>
              <w:rPr>
                <w:b/>
                <w:color w:val="FFFFFF"/>
                <w:sz w:val="18"/>
              </w:rPr>
              <w:t>Location</w:t>
            </w:r>
          </w:p>
        </w:tc>
        <w:tc>
          <w:tcPr>
            <w:tcW w:type="dxa" w:w="2880"/>
            <w:shd w:fill="1B2A4A" w:val="clear"/>
          </w:tcPr>
          <w:p>
            <w:pPr>
              <w:jc w:val="left"/>
            </w:pPr>
            <w:r>
              <w:rPr>
                <w:b/>
                <w:color w:val="FFFFFF"/>
                <w:sz w:val="18"/>
              </w:rPr>
              <w:t>Description</w:t>
            </w:r>
          </w:p>
        </w:tc>
      </w:tr>
      <w:tr>
        <w:tc>
          <w:tcPr>
            <w:tcW w:type="dxa" w:w="2880"/>
          </w:tcPr>
          <w:p>
            <w:r>
              <w:rPr>
                <w:sz w:val="18"/>
              </w:rPr>
              <w:t>Substrate</w:t>
            </w:r>
          </w:p>
        </w:tc>
        <w:tc>
          <w:tcPr>
            <w:tcW w:type="dxa" w:w="2880"/>
          </w:tcPr>
          <w:p>
            <w:r>
              <w:rPr>
                <w:sz w:val="18"/>
              </w:rPr>
              <w:t>.project-state/</w:t>
            </w:r>
          </w:p>
        </w:tc>
        <w:tc>
          <w:tcPr>
            <w:tcW w:type="dxa" w:w="2880"/>
          </w:tcPr>
          <w:p>
            <w:r>
              <w:rPr>
                <w:sz w:val="18"/>
              </w:rPr>
              <w:t>File-per-entity storage with append-only activity logs, advisory lockfiles, and frontmatter timestamps for concurrency. Plain YAML, JSON, NDJSON, and markdown — no database or API.</w:t>
            </w:r>
          </w:p>
        </w:tc>
      </w:tr>
      <w:tr>
        <w:tc>
          <w:tcPr>
            <w:tcW w:type="dxa" w:w="2880"/>
            <w:shd w:fill="F0F4F8" w:val="clear"/>
          </w:tcPr>
          <w:p>
            <w:r>
              <w:rPr>
                <w:sz w:val="18"/>
              </w:rPr>
              <w:t>Skills</w:t>
            </w:r>
          </w:p>
        </w:tc>
        <w:tc>
          <w:tcPr>
            <w:tcW w:type="dxa" w:w="2880"/>
            <w:shd w:fill="F0F4F8" w:val="clear"/>
          </w:tcPr>
          <w:p>
            <w:r>
              <w:rPr>
                <w:sz w:val="18"/>
              </w:rPr>
              <w:t>skills/project-*/SKILL.md</w:t>
            </w:r>
          </w:p>
        </w:tc>
        <w:tc>
          <w:tcPr>
            <w:tcW w:type="dxa" w:w="2880"/>
            <w:shd w:fill="F0F4F8" w:val="clear"/>
          </w:tcPr>
          <w:p>
            <w:r>
              <w:rPr>
                <w:sz w:val="18"/>
              </w:rPr>
              <w:t>18 markdown-defined skills grouped into P0 (foundations), P1 (core ops), P2 (surfaces/automation), P3 (polish). Skills are stateless verbs that read/write the substrate via project-state.</w:t>
            </w:r>
          </w:p>
        </w:tc>
      </w:tr>
      <w:tr>
        <w:tc>
          <w:tcPr>
            <w:tcW w:type="dxa" w:w="2880"/>
          </w:tcPr>
          <w:p>
            <w:r>
              <w:rPr>
                <w:sz w:val="18"/>
              </w:rPr>
              <w:t>Surfaces</w:t>
            </w:r>
          </w:p>
        </w:tc>
        <w:tc>
          <w:tcPr>
            <w:tcW w:type="dxa" w:w="2880"/>
          </w:tcPr>
          <w:p>
            <w:r>
              <w:rPr>
                <w:sz w:val="18"/>
              </w:rPr>
              <w:t>Slack, Gmail, Calendar, Blog, Website</w:t>
            </w:r>
          </w:p>
        </w:tc>
        <w:tc>
          <w:tcPr>
            <w:tcW w:type="dxa" w:w="2880"/>
          </w:tcPr>
          <w:p>
            <w:r>
              <w:rPr>
                <w:sz w:val="18"/>
              </w:rPr>
              <w:t>External delivery channels. All artifacts require human review before sending. Gmail is always draft. Calendar events are proposed holds.</w:t>
            </w:r>
          </w:p>
        </w:tc>
      </w:tr>
    </w:tbl>
    <w:p>
      <w:pPr>
        <w:pStyle w:val="Heading2"/>
      </w:pPr>
      <w:r>
        <w:rPr>
          <w:color w:val="1B2A4A"/>
        </w:rPr>
        <w:t>Skill inventory</w:t>
      </w:r>
    </w:p>
    <w:tbl>
      <w:tblPr>
        <w:tblW w:type="auto" w:w="0"/>
        <w:jc w:val="center"/>
        <w:tblLook w:firstColumn="1" w:firstRow="1" w:lastColumn="0" w:lastRow="0" w:noHBand="0" w:noVBand="1" w:val="04A0"/>
        <w:tblBorders>
          <w:top w:val="single" w:sz="4" w:space="0" w:color="BDC3C7"/>
          <w:left w:val="single" w:sz="4" w:space="0" w:color="BDC3C7"/>
          <w:bottom w:val="single" w:sz="4" w:space="0" w:color="BDC3C7"/>
          <w:right w:val="single" w:sz="4" w:space="0" w:color="BDC3C7"/>
          <w:insideH w:val="single" w:sz="4" w:space="0" w:color="BDC3C7"/>
          <w:insideV w:val="single" w:sz="4" w:space="0" w:color="BDC3C7"/>
        </w:tblBorders>
      </w:tblPr>
      <w:tblGrid>
        <w:gridCol w:w="2880"/>
        <w:gridCol w:w="2880"/>
        <w:gridCol w:w="2880"/>
      </w:tblGrid>
      <w:tr>
        <w:tc>
          <w:tcPr>
            <w:tcW w:type="dxa" w:w="2880"/>
            <w:shd w:fill="1B2A4A" w:val="clear"/>
          </w:tcPr>
          <w:p>
            <w:pPr>
              <w:jc w:val="left"/>
            </w:pPr>
            <w:r>
              <w:rPr>
                <w:b/>
                <w:color w:val="FFFFFF"/>
                <w:sz w:val="18"/>
              </w:rPr>
              <w:t>Tier</w:t>
            </w:r>
          </w:p>
        </w:tc>
        <w:tc>
          <w:tcPr>
            <w:tcW w:type="dxa" w:w="2880"/>
            <w:shd w:fill="1B2A4A" w:val="clear"/>
          </w:tcPr>
          <w:p>
            <w:pPr>
              <w:jc w:val="left"/>
            </w:pPr>
            <w:r>
              <w:rPr>
                <w:b/>
                <w:color w:val="FFFFFF"/>
                <w:sz w:val="18"/>
              </w:rPr>
              <w:t>Skill</w:t>
            </w:r>
          </w:p>
        </w:tc>
        <w:tc>
          <w:tcPr>
            <w:tcW w:type="dxa" w:w="2880"/>
            <w:shd w:fill="1B2A4A" w:val="clear"/>
          </w:tcPr>
          <w:p>
            <w:pPr>
              <w:jc w:val="left"/>
            </w:pPr>
            <w:r>
              <w:rPr>
                <w:b/>
                <w:color w:val="FFFFFF"/>
                <w:sz w:val="18"/>
              </w:rPr>
              <w:t>Purpose</w:t>
            </w:r>
          </w:p>
        </w:tc>
      </w:tr>
      <w:tr>
        <w:tc>
          <w:tcPr>
            <w:tcW w:type="dxa" w:w="2880"/>
          </w:tcPr>
          <w:p>
            <w:r>
              <w:rPr>
                <w:sz w:val="18"/>
              </w:rPr>
              <w:t>P0 Foundation</w:t>
            </w:r>
          </w:p>
        </w:tc>
        <w:tc>
          <w:tcPr>
            <w:tcW w:type="dxa" w:w="2880"/>
          </w:tcPr>
          <w:p>
            <w:r>
              <w:rPr>
                <w:sz w:val="18"/>
              </w:rPr>
              <w:t>project-state</w:t>
            </w:r>
          </w:p>
        </w:tc>
        <w:tc>
          <w:tcPr>
            <w:tcW w:type="dxa" w:w="2880"/>
          </w:tcPr>
          <w:p>
            <w:r>
              <w:rPr>
                <w:sz w:val="18"/>
              </w:rPr>
              <w:t>Memory layer — only skill that reads/writes .project-state/ directly</w:t>
            </w:r>
          </w:p>
        </w:tc>
      </w:tr>
      <w:tr>
        <w:tc>
          <w:tcPr>
            <w:tcW w:type="dxa" w:w="2880"/>
            <w:shd w:fill="F0F4F8" w:val="clear"/>
          </w:tcPr>
          <w:p>
            <w:r>
              <w:rPr>
                <w:sz w:val="18"/>
              </w:rPr>
              <w:t>P0 Foundation</w:t>
            </w:r>
          </w:p>
        </w:tc>
        <w:tc>
          <w:tcPr>
            <w:tcW w:type="dxa" w:w="2880"/>
            <w:shd w:fill="F0F4F8" w:val="clear"/>
          </w:tcPr>
          <w:p>
            <w:r>
              <w:rPr>
                <w:sz w:val="18"/>
              </w:rPr>
              <w:t>project-scaffolder</w:t>
            </w:r>
          </w:p>
        </w:tc>
        <w:tc>
          <w:tcPr>
            <w:tcW w:type="dxa" w:w="2880"/>
            <w:shd w:fill="F0F4F8" w:val="clear"/>
          </w:tcPr>
          <w:p>
            <w:r>
              <w:rPr>
                <w:sz w:val="18"/>
              </w:rPr>
              <w:t>One-shot initializer for new .project-state/</w:t>
            </w:r>
          </w:p>
        </w:tc>
      </w:tr>
      <w:tr>
        <w:tc>
          <w:tcPr>
            <w:tcW w:type="dxa" w:w="2880"/>
          </w:tcPr>
          <w:p>
            <w:r>
              <w:rPr>
                <w:sz w:val="18"/>
              </w:rPr>
              <w:t>P1 Core</w:t>
            </w:r>
          </w:p>
        </w:tc>
        <w:tc>
          <w:tcPr>
            <w:tcW w:type="dxa" w:w="2880"/>
          </w:tcPr>
          <w:p>
            <w:r>
              <w:rPr>
                <w:sz w:val="18"/>
              </w:rPr>
              <w:t>project-phase-gate</w:t>
            </w:r>
          </w:p>
        </w:tc>
        <w:tc>
          <w:tcPr>
            <w:tcW w:type="dxa" w:w="2880"/>
          </w:tcPr>
          <w:p>
            <w:r>
              <w:rPr>
                <w:sz w:val="18"/>
              </w:rPr>
              <w:t>Lifecycle phase transitions with gate enforcement</w:t>
            </w:r>
          </w:p>
        </w:tc>
      </w:tr>
      <w:tr>
        <w:tc>
          <w:tcPr>
            <w:tcW w:type="dxa" w:w="2880"/>
            <w:shd w:fill="F0F4F8" w:val="clear"/>
          </w:tcPr>
          <w:p>
            <w:r>
              <w:rPr>
                <w:sz w:val="18"/>
              </w:rPr>
              <w:t>P1 Core</w:t>
            </w:r>
          </w:p>
        </w:tc>
        <w:tc>
          <w:tcPr>
            <w:tcW w:type="dxa" w:w="2880"/>
            <w:shd w:fill="F0F4F8" w:val="clear"/>
          </w:tcPr>
          <w:p>
            <w:r>
              <w:rPr>
                <w:sz w:val="18"/>
              </w:rPr>
              <w:t>project-document-curator</w:t>
            </w:r>
          </w:p>
        </w:tc>
        <w:tc>
          <w:tcPr>
            <w:tcW w:type="dxa" w:w="2880"/>
            <w:shd w:fill="F0F4F8" w:val="clear"/>
          </w:tcPr>
          <w:p>
            <w:r>
              <w:rPr>
                <w:sz w:val="18"/>
              </w:rPr>
              <w:t>Classify, index, and promote project documents</w:t>
            </w:r>
          </w:p>
        </w:tc>
      </w:tr>
      <w:tr>
        <w:tc>
          <w:tcPr>
            <w:tcW w:type="dxa" w:w="2880"/>
          </w:tcPr>
          <w:p>
            <w:r>
              <w:rPr>
                <w:sz w:val="18"/>
              </w:rPr>
              <w:t>P1 Core</w:t>
            </w:r>
          </w:p>
        </w:tc>
        <w:tc>
          <w:tcPr>
            <w:tcW w:type="dxa" w:w="2880"/>
          </w:tcPr>
          <w:p>
            <w:r>
              <w:rPr>
                <w:sz w:val="18"/>
              </w:rPr>
              <w:t>project-milestone-manager</w:t>
            </w:r>
          </w:p>
        </w:tc>
        <w:tc>
          <w:tcPr>
            <w:tcW w:type="dxa" w:w="2880"/>
          </w:tcPr>
          <w:p>
            <w:r>
              <w:rPr>
                <w:sz w:val="18"/>
              </w:rPr>
              <w:t>CRUD milestones, percent_complete, technical_progress</w:t>
            </w:r>
          </w:p>
        </w:tc>
      </w:tr>
      <w:tr>
        <w:tc>
          <w:tcPr>
            <w:tcW w:type="dxa" w:w="2880"/>
            <w:shd w:fill="F0F4F8" w:val="clear"/>
          </w:tcPr>
          <w:p>
            <w:r>
              <w:rPr>
                <w:sz w:val="18"/>
              </w:rPr>
              <w:t>P1 Core</w:t>
            </w:r>
          </w:p>
        </w:tc>
        <w:tc>
          <w:tcPr>
            <w:tcW w:type="dxa" w:w="2880"/>
            <w:shd w:fill="F0F4F8" w:val="clear"/>
          </w:tcPr>
          <w:p>
            <w:r>
              <w:rPr>
                <w:sz w:val="18"/>
              </w:rPr>
              <w:t>project-status-reporter</w:t>
            </w:r>
          </w:p>
        </w:tc>
        <w:tc>
          <w:tcPr>
            <w:tcW w:type="dxa" w:w="2880"/>
            <w:shd w:fill="F0F4F8" w:val="clear"/>
          </w:tcPr>
          <w:p>
            <w:r>
              <w:rPr>
                <w:sz w:val="18"/>
              </w:rPr>
              <w:t>Generate status reports (weekly, SC pack, claim draft, dashboard)</w:t>
            </w:r>
          </w:p>
        </w:tc>
      </w:tr>
      <w:tr>
        <w:tc>
          <w:tcPr>
            <w:tcW w:type="dxa" w:w="2880"/>
          </w:tcPr>
          <w:p>
            <w:r>
              <w:rPr>
                <w:sz w:val="18"/>
              </w:rPr>
              <w:t>P2 Surfaces</w:t>
            </w:r>
          </w:p>
        </w:tc>
        <w:tc>
          <w:tcPr>
            <w:tcW w:type="dxa" w:w="2880"/>
          </w:tcPr>
          <w:p>
            <w:r>
              <w:rPr>
                <w:sz w:val="18"/>
              </w:rPr>
              <w:t>project-orchestrator</w:t>
            </w:r>
          </w:p>
        </w:tc>
        <w:tc>
          <w:tcPr>
            <w:tcW w:type="dxa" w:w="2880"/>
          </w:tcPr>
          <w:p>
            <w:r>
              <w:rPr>
                <w:sz w:val="18"/>
              </w:rPr>
              <w:t>Calendar-aware conductor; reads reporting matrix, dispatches generators</w:t>
            </w:r>
          </w:p>
        </w:tc>
      </w:tr>
      <w:tr>
        <w:tc>
          <w:tcPr>
            <w:tcW w:type="dxa" w:w="2880"/>
            <w:shd w:fill="F0F4F8" w:val="clear"/>
          </w:tcPr>
          <w:p>
            <w:r>
              <w:rPr>
                <w:sz w:val="18"/>
              </w:rPr>
              <w:t>P2 Surfaces</w:t>
            </w:r>
          </w:p>
        </w:tc>
        <w:tc>
          <w:tcPr>
            <w:tcW w:type="dxa" w:w="2880"/>
            <w:shd w:fill="F0F4F8" w:val="clear"/>
          </w:tcPr>
          <w:p>
            <w:r>
              <w:rPr>
                <w:sz w:val="18"/>
              </w:rPr>
              <w:t>project-notifier</w:t>
            </w:r>
          </w:p>
        </w:tc>
        <w:tc>
          <w:tcPr>
            <w:tcW w:type="dxa" w:w="2880"/>
            <w:shd w:fill="F0F4F8" w:val="clear"/>
          </w:tcPr>
          <w:p>
            <w:r>
              <w:rPr>
                <w:sz w:val="18"/>
              </w:rPr>
              <w:t>Route artifacts to Slack/Gmail/Calendar</w:t>
            </w:r>
          </w:p>
        </w:tc>
      </w:tr>
      <w:tr>
        <w:tc>
          <w:tcPr>
            <w:tcW w:type="dxa" w:w="2880"/>
          </w:tcPr>
          <w:p>
            <w:r>
              <w:rPr>
                <w:sz w:val="18"/>
              </w:rPr>
              <w:t>P2 Surfaces</w:t>
            </w:r>
          </w:p>
        </w:tc>
        <w:tc>
          <w:tcPr>
            <w:tcW w:type="dxa" w:w="2880"/>
          </w:tcPr>
          <w:p>
            <w:r>
              <w:rPr>
                <w:sz w:val="18"/>
              </w:rPr>
              <w:t>project-review-meeting</w:t>
            </w:r>
          </w:p>
        </w:tc>
        <w:tc>
          <w:tcPr>
            <w:tcW w:type="dxa" w:w="2880"/>
          </w:tcPr>
          <w:p>
            <w:r>
              <w:rPr>
                <w:sz w:val="18"/>
              </w:rPr>
              <w:t>Generic recurring review-meeting lifecycle</w:t>
            </w:r>
          </w:p>
        </w:tc>
      </w:tr>
      <w:tr>
        <w:tc>
          <w:tcPr>
            <w:tcW w:type="dxa" w:w="2880"/>
            <w:shd w:fill="F0F4F8" w:val="clear"/>
          </w:tcPr>
          <w:p>
            <w:r>
              <w:rPr>
                <w:sz w:val="18"/>
              </w:rPr>
              <w:t>P2 Surfaces</w:t>
            </w:r>
          </w:p>
        </w:tc>
        <w:tc>
          <w:tcPr>
            <w:tcW w:type="dxa" w:w="2880"/>
            <w:shd w:fill="F0F4F8" w:val="clear"/>
          </w:tcPr>
          <w:p>
            <w:r>
              <w:rPr>
                <w:sz w:val="18"/>
              </w:rPr>
              <w:t>project-funder-reporting</w:t>
            </w:r>
          </w:p>
        </w:tc>
        <w:tc>
          <w:tcPr>
            <w:tcW w:type="dxa" w:w="2880"/>
            <w:shd w:fill="F0F4F8" w:val="clear"/>
          </w:tcPr>
          <w:p>
            <w:r>
              <w:rPr>
                <w:sz w:val="18"/>
              </w:rPr>
              <w:t>Generic stakeholder-bound recurring reports</w:t>
            </w:r>
          </w:p>
        </w:tc>
      </w:tr>
      <w:tr>
        <w:tc>
          <w:tcPr>
            <w:tcW w:type="dxa" w:w="2880"/>
          </w:tcPr>
          <w:p>
            <w:r>
              <w:rPr>
                <w:sz w:val="18"/>
              </w:rPr>
              <w:t>P2 Surfaces</w:t>
            </w:r>
          </w:p>
        </w:tc>
        <w:tc>
          <w:tcPr>
            <w:tcW w:type="dxa" w:w="2880"/>
          </w:tcPr>
          <w:p>
            <w:r>
              <w:rPr>
                <w:sz w:val="18"/>
              </w:rPr>
              <w:t>project-change-register</w:t>
            </w:r>
          </w:p>
        </w:tc>
        <w:tc>
          <w:tcPr>
            <w:tcW w:type="dxa" w:w="2880"/>
          </w:tcPr>
          <w:p>
            <w:r>
              <w:rPr>
                <w:sz w:val="18"/>
              </w:rPr>
              <w:t>Material vs. non-material change classification</w:t>
            </w:r>
          </w:p>
        </w:tc>
      </w:tr>
      <w:tr>
        <w:tc>
          <w:tcPr>
            <w:tcW w:type="dxa" w:w="2880"/>
            <w:shd w:fill="F0F4F8" w:val="clear"/>
          </w:tcPr>
          <w:p>
            <w:r>
              <w:rPr>
                <w:sz w:val="18"/>
              </w:rPr>
              <w:t>P2 Surfaces</w:t>
            </w:r>
          </w:p>
        </w:tc>
        <w:tc>
          <w:tcPr>
            <w:tcW w:type="dxa" w:w="2880"/>
            <w:shd w:fill="F0F4F8" w:val="clear"/>
          </w:tcPr>
          <w:p>
            <w:r>
              <w:rPr>
                <w:sz w:val="18"/>
              </w:rPr>
              <w:t>project-blog-publisher</w:t>
            </w:r>
          </w:p>
        </w:tc>
        <w:tc>
          <w:tcPr>
            <w:tcW w:type="dxa" w:w="2880"/>
            <w:shd w:fill="F0F4F8" w:val="clear"/>
          </w:tcPr>
          <w:p>
            <w:r>
              <w:rPr>
                <w:sz w:val="18"/>
              </w:rPr>
              <w:t>scsiwyg bridge with publication-review respect</w:t>
            </w:r>
          </w:p>
        </w:tc>
      </w:tr>
      <w:tr>
        <w:tc>
          <w:tcPr>
            <w:tcW w:type="dxa" w:w="2880"/>
          </w:tcPr>
          <w:p>
            <w:r>
              <w:rPr>
                <w:sz w:val="18"/>
              </w:rPr>
              <w:t>P2 Surfaces</w:t>
            </w:r>
          </w:p>
        </w:tc>
        <w:tc>
          <w:tcPr>
            <w:tcW w:type="dxa" w:w="2880"/>
          </w:tcPr>
          <w:p>
            <w:r>
              <w:rPr>
                <w:sz w:val="18"/>
              </w:rPr>
              <w:t>project-website-publisher</w:t>
            </w:r>
          </w:p>
        </w:tc>
        <w:tc>
          <w:tcPr>
            <w:tcW w:type="dxa" w:w="2880"/>
          </w:tcPr>
          <w:p>
            <w:r>
              <w:rPr>
                <w:sz w:val="18"/>
              </w:rPr>
              <w:t>Static project website with stable URLs</w:t>
            </w:r>
          </w:p>
        </w:tc>
      </w:tr>
      <w:tr>
        <w:tc>
          <w:tcPr>
            <w:tcW w:type="dxa" w:w="2880"/>
            <w:shd w:fill="F0F4F8" w:val="clear"/>
          </w:tcPr>
          <w:p>
            <w:r>
              <w:rPr>
                <w:sz w:val="18"/>
              </w:rPr>
              <w:t>P3 Polish</w:t>
            </w:r>
          </w:p>
        </w:tc>
        <w:tc>
          <w:tcPr>
            <w:tcW w:type="dxa" w:w="2880"/>
            <w:shd w:fill="F0F4F8" w:val="clear"/>
          </w:tcPr>
          <w:p>
            <w:r>
              <w:rPr>
                <w:sz w:val="18"/>
              </w:rPr>
              <w:t>project-onboarder</w:t>
            </w:r>
          </w:p>
        </w:tc>
        <w:tc>
          <w:tcPr>
            <w:tcW w:type="dxa" w:w="2880"/>
            <w:shd w:fill="F0F4F8" w:val="clear"/>
          </w:tcPr>
          <w:p>
            <w:r>
              <w:rPr>
                <w:sz w:val="18"/>
              </w:rPr>
              <w:t>Personalized onboarding briefs for new teammates</w:t>
            </w:r>
          </w:p>
        </w:tc>
      </w:tr>
      <w:tr>
        <w:tc>
          <w:tcPr>
            <w:tcW w:type="dxa" w:w="2880"/>
          </w:tcPr>
          <w:p>
            <w:r>
              <w:rPr>
                <w:sz w:val="18"/>
              </w:rPr>
              <w:t>P3 Polish</w:t>
            </w:r>
          </w:p>
        </w:tc>
        <w:tc>
          <w:tcPr>
            <w:tcW w:type="dxa" w:w="2880"/>
          </w:tcPr>
          <w:p>
            <w:r>
              <w:rPr>
                <w:sz w:val="18"/>
              </w:rPr>
              <w:t>project-ip-tracker</w:t>
            </w:r>
          </w:p>
        </w:tc>
        <w:tc>
          <w:tcPr>
            <w:tcW w:type="dxa" w:w="2880"/>
          </w:tcPr>
          <w:p>
            <w:r>
              <w:rPr>
                <w:sz w:val="18"/>
              </w:rPr>
              <w:t>IP disclosures with configurable recipient</w:t>
            </w:r>
          </w:p>
        </w:tc>
      </w:tr>
      <w:tr>
        <w:tc>
          <w:tcPr>
            <w:tcW w:type="dxa" w:w="2880"/>
            <w:shd w:fill="F0F4F8" w:val="clear"/>
          </w:tcPr>
          <w:p>
            <w:r>
              <w:rPr>
                <w:sz w:val="18"/>
              </w:rPr>
              <w:t>P3 Polish</w:t>
            </w:r>
          </w:p>
        </w:tc>
        <w:tc>
          <w:tcPr>
            <w:tcW w:type="dxa" w:w="2880"/>
            <w:shd w:fill="F0F4F8" w:val="clear"/>
          </w:tcPr>
          <w:p>
            <w:r>
              <w:rPr>
                <w:sz w:val="18"/>
              </w:rPr>
              <w:t>project-external-comms</w:t>
            </w:r>
          </w:p>
        </w:tc>
        <w:tc>
          <w:tcPr>
            <w:tcW w:type="dxa" w:w="2880"/>
            <w:shd w:fill="F0F4F8" w:val="clear"/>
          </w:tcPr>
          <w:p>
            <w:r>
              <w:rPr>
                <w:sz w:val="18"/>
              </w:rPr>
              <w:t>External-communication review pipeline</w:t>
            </w:r>
          </w:p>
        </w:tc>
      </w:tr>
      <w:tr>
        <w:tc>
          <w:tcPr>
            <w:tcW w:type="dxa" w:w="2880"/>
          </w:tcPr>
          <w:p>
            <w:r>
              <w:rPr>
                <w:sz w:val="18"/>
              </w:rPr>
              <w:t>P3 Polish</w:t>
            </w:r>
          </w:p>
        </w:tc>
        <w:tc>
          <w:tcPr>
            <w:tcW w:type="dxa" w:w="2880"/>
          </w:tcPr>
          <w:p>
            <w:r>
              <w:rPr>
                <w:sz w:val="18"/>
              </w:rPr>
              <w:t>project-lessons</w:t>
            </w:r>
          </w:p>
        </w:tc>
        <w:tc>
          <w:tcPr>
            <w:tcW w:type="dxa" w:w="2880"/>
          </w:tcPr>
          <w:p>
            <w:r>
              <w:rPr>
                <w:sz w:val="18"/>
              </w:rPr>
              <w:t>Continuous lessons-learned capture</w:t>
            </w:r>
          </w:p>
        </w:tc>
      </w:tr>
      <w:tr>
        <w:tc>
          <w:tcPr>
            <w:tcW w:type="dxa" w:w="2880"/>
            <w:shd w:fill="F0F4F8" w:val="clear"/>
          </w:tcPr>
          <w:p>
            <w:r>
              <w:rPr>
                <w:sz w:val="18"/>
              </w:rPr>
              <w:t>P3 Polish</w:t>
            </w:r>
          </w:p>
        </w:tc>
        <w:tc>
          <w:tcPr>
            <w:tcW w:type="dxa" w:w="2880"/>
            <w:shd w:fill="F0F4F8" w:val="clear"/>
          </w:tcPr>
          <w:p>
            <w:r>
              <w:rPr>
                <w:sz w:val="18"/>
              </w:rPr>
              <w:t>project-archive</w:t>
            </w:r>
          </w:p>
        </w:tc>
        <w:tc>
          <w:tcPr>
            <w:tcW w:type="dxa" w:w="2880"/>
            <w:shd w:fill="F0F4F8" w:val="clear"/>
          </w:tcPr>
          <w:p>
            <w:r>
              <w:rPr>
                <w:sz w:val="18"/>
              </w:rPr>
              <w:t>Project closeout and archival</w:t>
            </w:r>
          </w:p>
        </w:tc>
      </w:tr>
    </w:tbl>
    <w:p>
      <w:pPr>
        <w:pStyle w:val="Heading2"/>
      </w:pPr>
      <w:r>
        <w:rPr>
          <w:color w:val="1B2A4A"/>
        </w:rPr>
        <w:t>Pack system</w:t>
      </w:r>
    </w:p>
    <w:p>
      <w:pPr>
        <w:pStyle w:val="BodyText"/>
      </w:pPr>
      <w:r>
        <w:t>Packs are pluggable compliance/reporting configurations. Each pack contains a manifest.yaml, profile YAMLs, optional templates, and reporting-matrix-defaults.yaml. Six skills are pack-profile-driven.</w:t>
      </w:r>
    </w:p>
    <w:tbl>
      <w:tblPr>
        <w:tblW w:type="auto" w:w="0"/>
        <w:jc w:val="center"/>
        <w:tblLook w:firstColumn="1" w:firstRow="1" w:lastColumn="0" w:lastRow="0" w:noHBand="0" w:noVBand="1" w:val="04A0"/>
        <w:tblBorders>
          <w:top w:val="single" w:sz="4" w:space="0" w:color="BDC3C7"/>
          <w:left w:val="single" w:sz="4" w:space="0" w:color="BDC3C7"/>
          <w:bottom w:val="single" w:sz="4" w:space="0" w:color="BDC3C7"/>
          <w:right w:val="single" w:sz="4" w:space="0" w:color="BDC3C7"/>
          <w:insideH w:val="single" w:sz="4" w:space="0" w:color="BDC3C7"/>
          <w:insideV w:val="single" w:sz="4" w:space="0" w:color="BDC3C7"/>
        </w:tblBorders>
      </w:tblPr>
      <w:tblGrid>
        <w:gridCol w:w="2880"/>
        <w:gridCol w:w="2880"/>
        <w:gridCol w:w="2880"/>
      </w:tblGrid>
      <w:tr>
        <w:tc>
          <w:tcPr>
            <w:tcW w:type="dxa" w:w="2880"/>
            <w:shd w:fill="1B2A4A" w:val="clear"/>
          </w:tcPr>
          <w:p>
            <w:pPr>
              <w:jc w:val="left"/>
            </w:pPr>
            <w:r>
              <w:rPr>
                <w:b/>
                <w:color w:val="FFFFFF"/>
                <w:sz w:val="18"/>
              </w:rPr>
              <w:t>Pack</w:t>
            </w:r>
          </w:p>
        </w:tc>
        <w:tc>
          <w:tcPr>
            <w:tcW w:type="dxa" w:w="2880"/>
            <w:shd w:fill="1B2A4A" w:val="clear"/>
          </w:tcPr>
          <w:p>
            <w:pPr>
              <w:jc w:val="left"/>
            </w:pPr>
            <w:r>
              <w:rPr>
                <w:b/>
                <w:color w:val="FFFFFF"/>
                <w:sz w:val="18"/>
              </w:rPr>
              <w:t>Maturity</w:t>
            </w:r>
          </w:p>
        </w:tc>
        <w:tc>
          <w:tcPr>
            <w:tcW w:type="dxa" w:w="2880"/>
            <w:shd w:fill="1B2A4A" w:val="clear"/>
          </w:tcPr>
          <w:p>
            <w:pPr>
              <w:jc w:val="left"/>
            </w:pPr>
            <w:r>
              <w:rPr>
                <w:b/>
                <w:color w:val="FFFFFF"/>
                <w:sz w:val="18"/>
              </w:rPr>
              <w:t>Description</w:t>
            </w:r>
          </w:p>
        </w:tc>
      </w:tr>
      <w:tr>
        <w:tc>
          <w:tcPr>
            <w:tcW w:type="dxa" w:w="2880"/>
          </w:tcPr>
          <w:p>
            <w:r>
              <w:rPr>
                <w:sz w:val="18"/>
              </w:rPr>
              <w:t>pic-pcais</w:t>
            </w:r>
          </w:p>
        </w:tc>
        <w:tc>
          <w:tcPr>
            <w:tcW w:type="dxa" w:w="2880"/>
          </w:tcPr>
          <w:p>
            <w:r>
              <w:rPr>
                <w:sz w:val="18"/>
              </w:rPr>
              <w:t>production</w:t>
            </w:r>
          </w:p>
        </w:tc>
        <w:tc>
          <w:tcPr>
            <w:tcW w:type="dxa" w:w="2880"/>
          </w:tcPr>
          <w:p>
            <w:r>
              <w:rPr>
                <w:sz w:val="18"/>
              </w:rPr>
              <w:t>Protein Industries Canada PCAIS program</w:t>
            </w:r>
          </w:p>
        </w:tc>
      </w:tr>
      <w:tr>
        <w:tc>
          <w:tcPr>
            <w:tcW w:type="dxa" w:w="2880"/>
            <w:shd w:fill="F0F4F8" w:val="clear"/>
          </w:tcPr>
          <w:p>
            <w:r>
              <w:rPr>
                <w:sz w:val="18"/>
              </w:rPr>
              <w:t>client-services</w:t>
            </w:r>
          </w:p>
        </w:tc>
        <w:tc>
          <w:tcPr>
            <w:tcW w:type="dxa" w:w="2880"/>
            <w:shd w:fill="F0F4F8" w:val="clear"/>
          </w:tcPr>
          <w:p>
            <w:r>
              <w:rPr>
                <w:sz w:val="18"/>
              </w:rPr>
              <w:t>starter</w:t>
            </w:r>
          </w:p>
        </w:tc>
        <w:tc>
          <w:tcPr>
            <w:tcW w:type="dxa" w:w="2880"/>
            <w:shd w:fill="F0F4F8" w:val="clear"/>
          </w:tcPr>
          <w:p>
            <w:r>
              <w:rPr>
                <w:sz w:val="18"/>
              </w:rPr>
              <w:t>Client services / consulting engagements</w:t>
            </w:r>
          </w:p>
        </w:tc>
      </w:tr>
      <w:tr>
        <w:tc>
          <w:tcPr>
            <w:tcW w:type="dxa" w:w="2880"/>
          </w:tcPr>
          <w:p>
            <w:r>
              <w:rPr>
                <w:sz w:val="18"/>
              </w:rPr>
              <w:t>board-investor</w:t>
            </w:r>
          </w:p>
        </w:tc>
        <w:tc>
          <w:tcPr>
            <w:tcW w:type="dxa" w:w="2880"/>
          </w:tcPr>
          <w:p>
            <w:r>
              <w:rPr>
                <w:sz w:val="18"/>
              </w:rPr>
              <w:t>starter</w:t>
            </w:r>
          </w:p>
        </w:tc>
        <w:tc>
          <w:tcPr>
            <w:tcW w:type="dxa" w:w="2880"/>
          </w:tcPr>
          <w:p>
            <w:r>
              <w:rPr>
                <w:sz w:val="18"/>
              </w:rPr>
              <w:t>Board and investor reporting</w:t>
            </w:r>
          </w:p>
        </w:tc>
      </w:tr>
      <w:tr>
        <w:tc>
          <w:tcPr>
            <w:tcW w:type="dxa" w:w="2880"/>
            <w:shd w:fill="F0F4F8" w:val="clear"/>
          </w:tcPr>
          <w:p>
            <w:r>
              <w:rPr>
                <w:sz w:val="18"/>
              </w:rPr>
              <w:t>agile-default</w:t>
            </w:r>
          </w:p>
        </w:tc>
        <w:tc>
          <w:tcPr>
            <w:tcW w:type="dxa" w:w="2880"/>
            <w:shd w:fill="F0F4F8" w:val="clear"/>
          </w:tcPr>
          <w:p>
            <w:r>
              <w:rPr>
                <w:sz w:val="18"/>
              </w:rPr>
              <w:t>starter</w:t>
            </w:r>
          </w:p>
        </w:tc>
        <w:tc>
          <w:tcPr>
            <w:tcW w:type="dxa" w:w="2880"/>
            <w:shd w:fill="F0F4F8" w:val="clear"/>
          </w:tcPr>
          <w:p>
            <w:r>
              <w:rPr>
                <w:sz w:val="18"/>
              </w:rPr>
              <w:t>Agile / open-source development</w:t>
            </w:r>
          </w:p>
        </w:tc>
      </w:tr>
      <w:tr>
        <w:tc>
          <w:tcPr>
            <w:tcW w:type="dxa" w:w="2880"/>
          </w:tcPr>
          <w:p>
            <w:r>
              <w:rPr>
                <w:sz w:val="18"/>
              </w:rPr>
              <w:t>open-source-community</w:t>
            </w:r>
          </w:p>
        </w:tc>
        <w:tc>
          <w:tcPr>
            <w:tcW w:type="dxa" w:w="2880"/>
          </w:tcPr>
          <w:p>
            <w:r>
              <w:rPr>
                <w:sz w:val="18"/>
              </w:rPr>
              <w:t>starter</w:t>
            </w:r>
          </w:p>
        </w:tc>
        <w:tc>
          <w:tcPr>
            <w:tcW w:type="dxa" w:w="2880"/>
          </w:tcPr>
          <w:p>
            <w:r>
              <w:rPr>
                <w:sz w:val="18"/>
              </w:rPr>
              <w:t>Open-source community governance</w:t>
            </w:r>
          </w:p>
        </w:tc>
      </w:tr>
    </w:tbl>
    <w:p>
      <w:pPr>
        <w:pStyle w:val="Heading2"/>
      </w:pPr>
      <w:r>
        <w:rPr>
          <w:color w:val="1B2A4A"/>
        </w:rPr>
        <w:t>Concurrency model</w:t>
      </w:r>
    </w:p>
    <w:p>
      <w:pPr>
        <w:pStyle w:val="BodyText"/>
      </w:pPr>
      <w:r>
        <w:t>File-per-entity prevents write conflicts on different entities. Monolithic files (manifest.yaml, state.json) use advisory lockfiles with 300s TTL. Frontmatter last_modified timestamps for optimistic concurrency. Logs are append-only; corrections are new entries, not rewrites.</w:t>
      </w:r>
    </w:p>
    <w:p>
      <w:pPr>
        <w:pStyle w:val="Heading2"/>
      </w:pPr>
      <w:r>
        <w:rPr>
          <w:color w:val="1B2A4A"/>
        </w:rPr>
        <w:t>Reporting matrix</w:t>
      </w:r>
    </w:p>
    <w:p>
      <w:pPr>
        <w:pStyle w:val="BodyText"/>
      </w:pPr>
      <w:r>
        <w:t>The central v2.0 concept: .project-state/reporting-matrix.yaml encodes "for each stakeholder group, what report at what cadence in what format on which surface, produced by which skill." The orchestrator reads this matrix on each tick and dispatches generators.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